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DD55A" w14:textId="40F795D4" w:rsidR="004B18E5" w:rsidRPr="004B18E5" w:rsidRDefault="00CD6355" w:rsidP="00655781">
      <w:pPr>
        <w:spacing w:after="120" w:line="240" w:lineRule="auto"/>
        <w:jc w:val="center"/>
        <w:rPr>
          <w:rFonts w:ascii="Franklin Gothic Demi" w:eastAsia="Times New Roman" w:hAnsi="Franklin Gothic Demi" w:cs="Times New Roman"/>
          <w:color w:val="69C5B8"/>
          <w:sz w:val="32"/>
          <w:szCs w:val="32"/>
        </w:rPr>
      </w:pPr>
      <w:r>
        <w:rPr>
          <w:rFonts w:ascii="Franklin Gothic Demi" w:eastAsia="Times New Roman" w:hAnsi="Franklin Gothic Demi" w:cs="Times New Roman"/>
          <w:color w:val="69C5B8"/>
          <w:sz w:val="32"/>
          <w:szCs w:val="32"/>
        </w:rPr>
        <w:t>Guiding Principles for Equitable Design for Children and Youth</w:t>
      </w:r>
    </w:p>
    <w:p w14:paraId="0FDEA27C" w14:textId="696D4F8C" w:rsidR="006950CC" w:rsidRDefault="006950CC" w:rsidP="004E4059">
      <w:pPr>
        <w:spacing w:after="120" w:line="240" w:lineRule="auto"/>
        <w:jc w:val="center"/>
        <w:rPr>
          <w:rFonts w:ascii="Franklin Gothic Demi" w:eastAsia="Times New Roman" w:hAnsi="Franklin Gothic Demi" w:cs="Times New Roman"/>
        </w:rPr>
      </w:pPr>
      <w:r w:rsidRPr="004B18E5">
        <w:rPr>
          <w:rFonts w:ascii="Franklin Gothic Demi" w:eastAsia="Times New Roman" w:hAnsi="Franklin Gothic Demi" w:cs="Times New Roman"/>
        </w:rPr>
        <w:t>Mapping assets withi</w:t>
      </w:r>
      <w:r w:rsidR="00655781">
        <w:rPr>
          <w:rFonts w:ascii="Franklin Gothic Demi" w:eastAsia="Times New Roman" w:hAnsi="Franklin Gothic Demi" w:cs="Times New Roman"/>
        </w:rPr>
        <w:t xml:space="preserve">n organizations </w:t>
      </w:r>
      <w:r w:rsidR="004B18E5" w:rsidRPr="004B18E5">
        <w:rPr>
          <w:rFonts w:ascii="Franklin Gothic Demi" w:eastAsia="Times New Roman" w:hAnsi="Franklin Gothic Demi" w:cs="Times New Roman"/>
        </w:rPr>
        <w:t>that support developmental practices</w:t>
      </w:r>
    </w:p>
    <w:p w14:paraId="21919171" w14:textId="77777777" w:rsidR="00CD6355" w:rsidRPr="004B18E5" w:rsidRDefault="00CD6355" w:rsidP="004E4059">
      <w:pPr>
        <w:spacing w:after="120" w:line="240" w:lineRule="auto"/>
        <w:jc w:val="center"/>
        <w:rPr>
          <w:rFonts w:ascii="Franklin Gothic Demi" w:eastAsia="Times New Roman" w:hAnsi="Franklin Gothic Demi" w:cs="Times New Roman"/>
        </w:rPr>
      </w:pPr>
    </w:p>
    <w:p w14:paraId="6B0C18C8" w14:textId="777C426A" w:rsidR="000A47E0" w:rsidRDefault="00E6530E" w:rsidP="007D3F7B">
      <w:pPr>
        <w:pStyle w:val="ListParagraph"/>
        <w:spacing w:after="120" w:line="240" w:lineRule="auto"/>
        <w:ind w:left="360"/>
        <w:rPr>
          <w:rFonts w:ascii="Franklin Gothic Book" w:hAnsi="Franklin Gothic Book"/>
          <w:b/>
        </w:rPr>
      </w:pPr>
      <w:r>
        <w:rPr>
          <w:rFonts w:ascii="Franklin Gothic Book" w:hAnsi="Franklin Gothic Book"/>
          <w:noProof/>
        </w:rPr>
        <mc:AlternateContent>
          <mc:Choice Requires="wps">
            <w:drawing>
              <wp:anchor distT="0" distB="0" distL="114300" distR="114300" simplePos="0" relativeHeight="251668480" behindDoc="0" locked="0" layoutInCell="1" allowOverlap="1" wp14:anchorId="1D183374" wp14:editId="4F4A7C93">
                <wp:simplePos x="0" y="0"/>
                <wp:positionH relativeFrom="column">
                  <wp:posOffset>3420386</wp:posOffset>
                </wp:positionH>
                <wp:positionV relativeFrom="paragraph">
                  <wp:posOffset>597535</wp:posOffset>
                </wp:positionV>
                <wp:extent cx="884" cy="6061268"/>
                <wp:effectExtent l="0" t="0" r="37465" b="34925"/>
                <wp:wrapNone/>
                <wp:docPr id="6" name="Straight Connector 6"/>
                <wp:cNvGraphicFramePr/>
                <a:graphic xmlns:a="http://schemas.openxmlformats.org/drawingml/2006/main">
                  <a:graphicData uri="http://schemas.microsoft.com/office/word/2010/wordprocessingShape">
                    <wps:wsp>
                      <wps:cNvCnPr/>
                      <wps:spPr>
                        <a:xfrm>
                          <a:off x="0" y="0"/>
                          <a:ext cx="884" cy="606126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7B57B4"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pt,47.05pt" to="269.35pt,5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" strokecolor="#5b9bd5 [3204]" strokeweight="1pt">
                <v:stroke joinstyle="miter"/>
              </v:line>
            </w:pict>
          </mc:Fallback>
        </mc:AlternateContent>
      </w:r>
      <w:r w:rsidR="000A47E0" w:rsidRPr="000A47E0">
        <w:rPr>
          <w:rFonts w:ascii="Franklin Gothic Book" w:eastAsia="Times New Roman" w:hAnsi="Franklin Gothic Book" w:cs="Calibri"/>
          <w:b/>
          <w:color w:val="000000"/>
        </w:rPr>
        <w:t>Developmental practices</w:t>
      </w:r>
      <w:r w:rsidR="000A47E0" w:rsidRPr="000A47E0">
        <w:rPr>
          <w:rFonts w:ascii="Franklin Gothic Book" w:eastAsia="Times New Roman" w:hAnsi="Franklin Gothic Book" w:cs="Calibri"/>
          <w:color w:val="000000"/>
        </w:rPr>
        <w:t xml:space="preserve"> are the dynamic supports young people need, in different ways and from different people, throughout their lives. Adults can learn these practices, and develop strategies for putting them in place, whenever</w:t>
      </w:r>
      <w:r>
        <w:rPr>
          <w:rFonts w:ascii="Franklin Gothic Book" w:eastAsia="Times New Roman" w:hAnsi="Franklin Gothic Book" w:cs="Calibri"/>
          <w:color w:val="000000"/>
        </w:rPr>
        <w:t xml:space="preserve"> and wherever</w:t>
      </w:r>
      <w:r w:rsidR="000A47E0" w:rsidRPr="000A47E0">
        <w:rPr>
          <w:rFonts w:ascii="Franklin Gothic Book" w:eastAsia="Times New Roman" w:hAnsi="Franklin Gothic Book" w:cs="Calibri"/>
          <w:color w:val="000000"/>
        </w:rPr>
        <w:t xml:space="preserve"> they engage with young people.</w:t>
      </w:r>
      <w:r w:rsidR="000A47E0">
        <w:rPr>
          <w:rStyle w:val="FootnoteReference"/>
          <w:rFonts w:ascii="Franklin Gothic Book" w:eastAsia="Times New Roman" w:hAnsi="Franklin Gothic Book" w:cs="Calibri"/>
          <w:color w:val="000000"/>
        </w:rPr>
        <w:footnoteReference w:id="1"/>
      </w:r>
    </w:p>
    <w:p w14:paraId="7413E4D6" w14:textId="750CDF54" w:rsidR="00C25EF7" w:rsidRDefault="00CD6355" w:rsidP="007D3F7B">
      <w:pPr>
        <w:spacing w:after="80" w:line="240" w:lineRule="auto"/>
        <w:rPr>
          <w:rFonts w:ascii="Franklin Gothic Book" w:hAnsi="Franklin Gothic Book"/>
          <w:b/>
        </w:rPr>
      </w:pPr>
      <w:r>
        <w:rPr>
          <w:noProof/>
        </w:rPr>
        <w:drawing>
          <wp:anchor distT="0" distB="0" distL="114300" distR="114300" simplePos="0" relativeHeight="251673600" behindDoc="0" locked="0" layoutInCell="1" allowOverlap="1" wp14:anchorId="53172838" wp14:editId="09E09F6B">
            <wp:simplePos x="0" y="0"/>
            <wp:positionH relativeFrom="margin">
              <wp:align>left</wp:align>
            </wp:positionH>
            <wp:positionV relativeFrom="paragraph">
              <wp:posOffset>163195</wp:posOffset>
            </wp:positionV>
            <wp:extent cx="3380740" cy="33388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80740" cy="3338830"/>
                    </a:xfrm>
                    <a:prstGeom prst="rect">
                      <a:avLst/>
                    </a:prstGeom>
                  </pic:spPr>
                </pic:pic>
              </a:graphicData>
            </a:graphic>
            <wp14:sizeRelH relativeFrom="margin">
              <wp14:pctWidth>0</wp14:pctWidth>
            </wp14:sizeRelH>
            <wp14:sizeRelV relativeFrom="margin">
              <wp14:pctHeight>0</wp14:pctHeight>
            </wp14:sizeRelV>
          </wp:anchor>
        </w:drawing>
      </w:r>
    </w:p>
    <w:p w14:paraId="4A1F912A" w14:textId="1695CE4B" w:rsidR="006950CC" w:rsidRPr="004B18E5" w:rsidRDefault="00C25EF7" w:rsidP="007D3F7B">
      <w:pPr>
        <w:spacing w:after="80" w:line="240" w:lineRule="auto"/>
        <w:rPr>
          <w:rFonts w:ascii="Franklin Gothic Book" w:hAnsi="Franklin Gothic Book"/>
        </w:rPr>
      </w:pPr>
      <w:r>
        <w:rPr>
          <w:rFonts w:ascii="Franklin Gothic Book" w:hAnsi="Franklin Gothic Book"/>
          <w:b/>
        </w:rPr>
        <w:t>W</w:t>
      </w:r>
      <w:r w:rsidR="000A47E0">
        <w:rPr>
          <w:rFonts w:ascii="Franklin Gothic Book" w:hAnsi="Franklin Gothic Book"/>
          <w:b/>
        </w:rPr>
        <w:t xml:space="preserve">HY FOCUS ON </w:t>
      </w:r>
      <w:r w:rsidR="006950CC" w:rsidRPr="004B18E5">
        <w:rPr>
          <w:rFonts w:ascii="Franklin Gothic Book" w:hAnsi="Franklin Gothic Book"/>
          <w:b/>
        </w:rPr>
        <w:t xml:space="preserve">DEVELOPMENTAL </w:t>
      </w:r>
      <w:r w:rsidR="000A47E0">
        <w:rPr>
          <w:rFonts w:ascii="Franklin Gothic Book" w:hAnsi="Franklin Gothic Book"/>
          <w:b/>
        </w:rPr>
        <w:t>PRACTICE</w:t>
      </w:r>
      <w:r w:rsidR="006950CC" w:rsidRPr="004B18E5">
        <w:rPr>
          <w:rFonts w:ascii="Franklin Gothic Book" w:hAnsi="Franklin Gothic Book"/>
        </w:rPr>
        <w:t>?</w:t>
      </w:r>
    </w:p>
    <w:p w14:paraId="3810D04D" w14:textId="51F1B4BE" w:rsidR="006950CC" w:rsidRPr="004B18E5" w:rsidRDefault="000A47E0" w:rsidP="007D3F7B">
      <w:pPr>
        <w:spacing w:after="80" w:line="240" w:lineRule="auto"/>
        <w:rPr>
          <w:rFonts w:ascii="Franklin Gothic Book" w:hAnsi="Franklin Gothic Book"/>
        </w:rPr>
      </w:pPr>
      <w:r>
        <w:rPr>
          <w:rFonts w:ascii="Franklin Gothic Book" w:hAnsi="Franklin Gothic Book"/>
        </w:rPr>
        <w:t>How much are developmental practices</w:t>
      </w:r>
      <w:r w:rsidR="006950CC" w:rsidRPr="004B18E5">
        <w:rPr>
          <w:rFonts w:ascii="Franklin Gothic Book" w:hAnsi="Franklin Gothic Book"/>
        </w:rPr>
        <w:t xml:space="preserve"> actually codified and supported within </w:t>
      </w:r>
      <w:r w:rsidR="00655781">
        <w:rPr>
          <w:rFonts w:ascii="Franklin Gothic Book" w:hAnsi="Franklin Gothic Book"/>
        </w:rPr>
        <w:t xml:space="preserve">your organization? </w:t>
      </w:r>
      <w:r w:rsidR="006950CC" w:rsidRPr="004B18E5">
        <w:rPr>
          <w:rFonts w:ascii="Franklin Gothic Book" w:hAnsi="Franklin Gothic Book"/>
        </w:rPr>
        <w:t xml:space="preserve">A wealth of science tells us the elements of practice </w:t>
      </w:r>
      <w:r w:rsidR="0054092C">
        <w:rPr>
          <w:rFonts w:ascii="Franklin Gothic Book" w:hAnsi="Franklin Gothic Book"/>
        </w:rPr>
        <w:t xml:space="preserve">depicted on the graphic </w:t>
      </w:r>
      <w:r w:rsidR="006950CC" w:rsidRPr="004B18E5">
        <w:rPr>
          <w:rFonts w:ascii="Franklin Gothic Book" w:hAnsi="Franklin Gothic Book"/>
        </w:rPr>
        <w:t>are essential for development</w:t>
      </w:r>
      <w:r w:rsidR="006950CC" w:rsidRPr="004B18E5">
        <w:rPr>
          <w:rFonts w:ascii="Franklin Gothic Book" w:hAnsi="Franklin Gothic Book"/>
          <w:i/>
        </w:rPr>
        <w:t>.</w:t>
      </w:r>
      <w:r w:rsidR="003F63EB">
        <w:rPr>
          <w:rStyle w:val="FootnoteReference"/>
          <w:rFonts w:ascii="Franklin Gothic Book" w:hAnsi="Franklin Gothic Book"/>
          <w:i/>
        </w:rPr>
        <w:footnoteReference w:id="2"/>
      </w:r>
      <w:r w:rsidR="006950CC" w:rsidRPr="004B18E5">
        <w:rPr>
          <w:rFonts w:ascii="Franklin Gothic Book" w:hAnsi="Franklin Gothic Book"/>
        </w:rPr>
        <w:t xml:space="preserve">  By ensuring people have these supports, we optimize their ability to experience whatever it is we want them to experience.  There are likely many policies, practices, procedures and programs that your </w:t>
      </w:r>
      <w:r w:rsidR="00655781">
        <w:rPr>
          <w:rFonts w:ascii="Franklin Gothic Book" w:hAnsi="Franklin Gothic Book"/>
        </w:rPr>
        <w:t>organization</w:t>
      </w:r>
      <w:r w:rsidR="006950CC" w:rsidRPr="004B18E5">
        <w:rPr>
          <w:rFonts w:ascii="Franklin Gothic Book" w:hAnsi="Franklin Gothic Book"/>
        </w:rPr>
        <w:t xml:space="preserve"> says should explicitly support these practices.  There could also be mandates that </w:t>
      </w:r>
      <w:r w:rsidR="00655781">
        <w:rPr>
          <w:rFonts w:ascii="Franklin Gothic Book" w:hAnsi="Franklin Gothic Book"/>
        </w:rPr>
        <w:t xml:space="preserve">your organization </w:t>
      </w:r>
      <w:r w:rsidR="006950CC" w:rsidRPr="004B18E5">
        <w:rPr>
          <w:rFonts w:ascii="Franklin Gothic Book" w:hAnsi="Franklin Gothic Book"/>
        </w:rPr>
        <w:t xml:space="preserve">requires that seem counter to these practices.   </w:t>
      </w:r>
    </w:p>
    <w:p w14:paraId="7813DDDB" w14:textId="77777777" w:rsidR="006950CC" w:rsidRPr="004B18E5" w:rsidRDefault="007D3F7B" w:rsidP="007D3F7B">
      <w:pPr>
        <w:spacing w:after="120" w:line="240" w:lineRule="auto"/>
        <w:rPr>
          <w:rFonts w:ascii="Franklin Gothic Book" w:hAnsi="Franklin Gothic Book"/>
        </w:rPr>
      </w:pPr>
      <w:r>
        <w:rPr>
          <w:rFonts w:ascii="Franklin Gothic Book" w:hAnsi="Franklin Gothic Book"/>
          <w:b/>
          <w:noProof/>
        </w:rPr>
        <mc:AlternateContent>
          <mc:Choice Requires="wps">
            <w:drawing>
              <wp:anchor distT="0" distB="0" distL="114300" distR="114300" simplePos="0" relativeHeight="251672576" behindDoc="0" locked="0" layoutInCell="1" allowOverlap="1" wp14:anchorId="36C78D6A" wp14:editId="2088FC3E">
                <wp:simplePos x="0" y="0"/>
                <wp:positionH relativeFrom="column">
                  <wp:posOffset>242570</wp:posOffset>
                </wp:positionH>
                <wp:positionV relativeFrom="paragraph">
                  <wp:posOffset>795074</wp:posOffset>
                </wp:positionV>
                <wp:extent cx="3179603" cy="4214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179603" cy="421482"/>
                        </a:xfrm>
                        <a:prstGeom prst="rect">
                          <a:avLst/>
                        </a:prstGeom>
                        <a:noFill/>
                        <a:ln w="6350">
                          <a:noFill/>
                        </a:ln>
                      </wps:spPr>
                      <wps:txbx>
                        <w:txbxContent>
                          <w:p w14:paraId="22B8C8F3" w14:textId="77777777" w:rsidR="006F4525" w:rsidRPr="006F4525" w:rsidRDefault="006F4525" w:rsidP="006F4525">
                            <w:pPr>
                              <w:rPr>
                                <w:sz w:val="16"/>
                                <w:szCs w:val="20"/>
                              </w:rPr>
                            </w:pPr>
                            <w:r w:rsidRPr="006F4525">
                              <w:rPr>
                                <w:i/>
                                <w:sz w:val="16"/>
                                <w:szCs w:val="20"/>
                              </w:rPr>
                              <w:t>Graphic</w:t>
                            </w:r>
                            <w:r>
                              <w:rPr>
                                <w:sz w:val="16"/>
                                <w:szCs w:val="20"/>
                              </w:rPr>
                              <w:t xml:space="preserve">:  </w:t>
                            </w:r>
                            <w:r>
                              <w:rPr>
                                <w:sz w:val="16"/>
                                <w:szCs w:val="20"/>
                              </w:rPr>
                              <w:br/>
                            </w:r>
                            <w:r w:rsidRPr="006F4525">
                              <w:rPr>
                                <w:i/>
                                <w:sz w:val="16"/>
                                <w:szCs w:val="20"/>
                              </w:rPr>
                              <w:t>Science of Learning and Development Initiative, Turnaround for Children</w:t>
                            </w:r>
                          </w:p>
                          <w:p w14:paraId="2601DD6F" w14:textId="77777777" w:rsidR="006F4525" w:rsidRDefault="006F45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78D6A" id="_x0000_t202" coordsize="21600,21600" o:spt="202" path="m,l,21600r21600,l21600,xe">
                <v:stroke joinstyle="miter"/>
                <v:path gradientshapeok="t" o:connecttype="rect"/>
              </v:shapetype>
              <v:shape id="Text Box 2" o:spid="_x0000_s1026" type="#_x0000_t202" style="position:absolute;margin-left:19.1pt;margin-top:62.6pt;width:250.35pt;height:3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" filled="f" stroked="f" strokeweight=".5pt">
                <v:textbox>
                  <w:txbxContent>
                    <w:p w14:paraId="22B8C8F3" w14:textId="77777777" w:rsidR="006F4525" w:rsidRPr="006F4525" w:rsidRDefault="006F4525" w:rsidP="006F4525">
                      <w:pPr>
                        <w:rPr>
                          <w:sz w:val="16"/>
                          <w:szCs w:val="20"/>
                        </w:rPr>
                      </w:pPr>
                      <w:r w:rsidRPr="006F4525">
                        <w:rPr>
                          <w:i/>
                          <w:sz w:val="16"/>
                          <w:szCs w:val="20"/>
                        </w:rPr>
                        <w:t>Graphic</w:t>
                      </w:r>
                      <w:r>
                        <w:rPr>
                          <w:sz w:val="16"/>
                          <w:szCs w:val="20"/>
                        </w:rPr>
                        <w:t xml:space="preserve">:  </w:t>
                      </w:r>
                      <w:r>
                        <w:rPr>
                          <w:sz w:val="16"/>
                          <w:szCs w:val="20"/>
                        </w:rPr>
                        <w:br/>
                      </w:r>
                      <w:r w:rsidRPr="006F4525">
                        <w:rPr>
                          <w:i/>
                          <w:sz w:val="16"/>
                          <w:szCs w:val="20"/>
                        </w:rPr>
                        <w:t>Science of Learning and Development Initiative, Turnaround for Children</w:t>
                      </w:r>
                    </w:p>
                    <w:p w14:paraId="2601DD6F" w14:textId="77777777" w:rsidR="006F4525" w:rsidRDefault="006F4525"/>
                  </w:txbxContent>
                </v:textbox>
              </v:shape>
            </w:pict>
          </mc:Fallback>
        </mc:AlternateContent>
      </w:r>
      <w:r w:rsidR="006F4525">
        <w:rPr>
          <w:rFonts w:ascii="Franklin Gothic Book" w:hAnsi="Franklin Gothic Book"/>
          <w:b/>
          <w:noProof/>
        </w:rPr>
        <mc:AlternateContent>
          <mc:Choice Requires="wps">
            <w:drawing>
              <wp:anchor distT="0" distB="0" distL="114300" distR="114300" simplePos="0" relativeHeight="251667456" behindDoc="1" locked="0" layoutInCell="1" allowOverlap="1" wp14:anchorId="42419D1B" wp14:editId="6A34F2B1">
                <wp:simplePos x="0" y="0"/>
                <wp:positionH relativeFrom="column">
                  <wp:posOffset>203835</wp:posOffset>
                </wp:positionH>
                <wp:positionV relativeFrom="paragraph">
                  <wp:posOffset>833914</wp:posOffset>
                </wp:positionV>
                <wp:extent cx="3210560" cy="3263265"/>
                <wp:effectExtent l="0" t="0" r="8890" b="0"/>
                <wp:wrapTight wrapText="bothSides">
                  <wp:wrapPolygon edited="0">
                    <wp:start x="0" y="0"/>
                    <wp:lineTo x="0" y="21436"/>
                    <wp:lineTo x="21532" y="21436"/>
                    <wp:lineTo x="2153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210560" cy="3263265"/>
                        </a:xfrm>
                        <a:prstGeom prst="rect">
                          <a:avLst/>
                        </a:prstGeom>
                        <a:solidFill>
                          <a:schemeClr val="lt1"/>
                        </a:solidFill>
                        <a:ln w="6350">
                          <a:noFill/>
                        </a:ln>
                      </wps:spPr>
                      <wps:txbx>
                        <w:txbxContent>
                          <w:p w14:paraId="6B2203DB" w14:textId="77777777" w:rsidR="006F4525" w:rsidRDefault="006F4525" w:rsidP="00E6530E">
                            <w:pPr>
                              <w:spacing w:after="0" w:line="240" w:lineRule="auto"/>
                              <w:rPr>
                                <w:rFonts w:ascii="Franklin Gothic Book" w:hAnsi="Franklin Gothic Book"/>
                                <w:i/>
                              </w:rPr>
                            </w:pPr>
                          </w:p>
                          <w:p w14:paraId="12FAE072" w14:textId="77777777" w:rsidR="006F4525" w:rsidRPr="006F4525" w:rsidRDefault="006F4525" w:rsidP="00E6530E">
                            <w:pPr>
                              <w:spacing w:after="0" w:line="240" w:lineRule="auto"/>
                              <w:rPr>
                                <w:rFonts w:ascii="Franklin Gothic Book" w:hAnsi="Franklin Gothic Book"/>
                                <w:i/>
                                <w:sz w:val="16"/>
                              </w:rPr>
                            </w:pPr>
                          </w:p>
                          <w:p w14:paraId="3D8140DE" w14:textId="77777777" w:rsidR="006F4525" w:rsidRDefault="006F4525" w:rsidP="00E6530E">
                            <w:pPr>
                              <w:spacing w:after="0" w:line="240" w:lineRule="auto"/>
                              <w:rPr>
                                <w:rFonts w:ascii="Franklin Gothic Book" w:hAnsi="Franklin Gothic Book"/>
                                <w:i/>
                              </w:rPr>
                            </w:pPr>
                          </w:p>
                          <w:p w14:paraId="22A25B1E" w14:textId="77777777" w:rsidR="00E6530E" w:rsidRDefault="00E6530E" w:rsidP="00E6530E">
                            <w:pPr>
                              <w:spacing w:after="0" w:line="240" w:lineRule="auto"/>
                              <w:rPr>
                                <w:rFonts w:ascii="Franklin Gothic Book" w:hAnsi="Franklin Gothic Book"/>
                                <w:i/>
                              </w:rPr>
                            </w:pPr>
                            <w:r w:rsidRPr="004E4059">
                              <w:rPr>
                                <w:rFonts w:ascii="Franklin Gothic Book" w:hAnsi="Franklin Gothic Book"/>
                                <w:i/>
                              </w:rPr>
                              <w:t xml:space="preserve">The five </w:t>
                            </w:r>
                            <w:r>
                              <w:rPr>
                                <w:rFonts w:ascii="Franklin Gothic Book" w:hAnsi="Franklin Gothic Book"/>
                                <w:i/>
                              </w:rPr>
                              <w:t>elements</w:t>
                            </w:r>
                            <w:r w:rsidR="006F4525">
                              <w:rPr>
                                <w:rFonts w:ascii="Franklin Gothic Book" w:hAnsi="Franklin Gothic Book"/>
                                <w:i/>
                              </w:rPr>
                              <w:t xml:space="preserve"> abo</w:t>
                            </w:r>
                            <w:r w:rsidRPr="004E4059">
                              <w:rPr>
                                <w:rFonts w:ascii="Franklin Gothic Book" w:hAnsi="Franklin Gothic Book"/>
                                <w:i/>
                              </w:rPr>
                              <w:t xml:space="preserve">ve provide the framing for this asset map. </w:t>
                            </w:r>
                          </w:p>
                          <w:p w14:paraId="498E58E7" w14:textId="77777777" w:rsidR="00E6530E" w:rsidRPr="004E4059" w:rsidRDefault="00E6530E" w:rsidP="00E6530E">
                            <w:pPr>
                              <w:spacing w:after="0" w:line="240" w:lineRule="auto"/>
                              <w:rPr>
                                <w:rFonts w:ascii="Franklin Gothic Book" w:hAnsi="Franklin Gothic Book"/>
                                <w:i/>
                              </w:rPr>
                            </w:pPr>
                          </w:p>
                          <w:p w14:paraId="74F568F0" w14:textId="3F2AD655" w:rsidR="00E6530E" w:rsidRPr="004E4059" w:rsidRDefault="00E6530E" w:rsidP="00E6530E">
                            <w:pPr>
                              <w:spacing w:after="0" w:line="240" w:lineRule="auto"/>
                              <w:rPr>
                                <w:rFonts w:ascii="Franklin Gothic Book" w:hAnsi="Franklin Gothic Book"/>
                                <w:i/>
                              </w:rPr>
                            </w:pPr>
                            <w:r w:rsidRPr="004E4059">
                              <w:rPr>
                                <w:rFonts w:ascii="Franklin Gothic Book" w:hAnsi="Franklin Gothic Book"/>
                                <w:i/>
                              </w:rPr>
                              <w:t xml:space="preserve">The latest in the science of learning and development affirms that learning is optimized when it starts with strong relationships in environments filled with safety and belonging.  In these contexts, children and youth can then fully engage in challenging experiences and opportunities.  </w:t>
                            </w:r>
                            <w:r w:rsidR="00CD6355" w:rsidRPr="004E4059">
                              <w:rPr>
                                <w:rFonts w:ascii="Franklin Gothic Book" w:hAnsi="Franklin Gothic Book"/>
                                <w:i/>
                              </w:rPr>
                              <w:t>Intentional development of skills, mindsets and habits can be best maximized when these other components are in place.</w:t>
                            </w:r>
                            <w:r w:rsidR="00CD6355">
                              <w:rPr>
                                <w:rFonts w:ascii="Franklin Gothic Book" w:hAnsi="Franklin Gothic Book"/>
                                <w:i/>
                              </w:rPr>
                              <w:t xml:space="preserve"> </w:t>
                            </w:r>
                            <w:r w:rsidRPr="004E4059">
                              <w:rPr>
                                <w:rFonts w:ascii="Franklin Gothic Book" w:hAnsi="Franklin Gothic Book"/>
                                <w:i/>
                              </w:rPr>
                              <w:t>Optimal learning and engagement also requires personalization</w:t>
                            </w:r>
                            <w:r>
                              <w:rPr>
                                <w:rFonts w:ascii="Franklin Gothic Book" w:hAnsi="Franklin Gothic Book"/>
                                <w:i/>
                              </w:rPr>
                              <w:t xml:space="preserve"> – individualized supports – </w:t>
                            </w:r>
                            <w:r w:rsidRPr="004E4059">
                              <w:rPr>
                                <w:rFonts w:ascii="Franklin Gothic Book" w:hAnsi="Franklin Gothic Book"/>
                                <w:i/>
                              </w:rPr>
                              <w:t xml:space="preserve">that takes into account a young person’s specific needs.  </w:t>
                            </w:r>
                          </w:p>
                          <w:p w14:paraId="05C7A2EC" w14:textId="77777777" w:rsidR="00E6530E" w:rsidRPr="000A47E0" w:rsidRDefault="00E6530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19D1B" id="Text Box 3" o:spid="_x0000_s1027" type="#_x0000_t202" style="position:absolute;margin-left:16.05pt;margin-top:65.65pt;width:252.8pt;height:25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" fillcolor="white [3201]" stroked="f" strokeweight=".5pt">
                <v:textbox>
                  <w:txbxContent>
                    <w:p w14:paraId="6B2203DB" w14:textId="77777777" w:rsidR="006F4525" w:rsidRDefault="006F4525" w:rsidP="00E6530E">
                      <w:pPr>
                        <w:spacing w:after="0" w:line="240" w:lineRule="auto"/>
                        <w:rPr>
                          <w:rFonts w:ascii="Franklin Gothic Book" w:hAnsi="Franklin Gothic Book"/>
                          <w:i/>
                        </w:rPr>
                      </w:pPr>
                    </w:p>
                    <w:p w14:paraId="12FAE072" w14:textId="77777777" w:rsidR="006F4525" w:rsidRPr="006F4525" w:rsidRDefault="006F4525" w:rsidP="00E6530E">
                      <w:pPr>
                        <w:spacing w:after="0" w:line="240" w:lineRule="auto"/>
                        <w:rPr>
                          <w:rFonts w:ascii="Franklin Gothic Book" w:hAnsi="Franklin Gothic Book"/>
                          <w:i/>
                          <w:sz w:val="16"/>
                        </w:rPr>
                      </w:pPr>
                    </w:p>
                    <w:p w14:paraId="3D8140DE" w14:textId="77777777" w:rsidR="006F4525" w:rsidRDefault="006F4525" w:rsidP="00E6530E">
                      <w:pPr>
                        <w:spacing w:after="0" w:line="240" w:lineRule="auto"/>
                        <w:rPr>
                          <w:rFonts w:ascii="Franklin Gothic Book" w:hAnsi="Franklin Gothic Book"/>
                          <w:i/>
                        </w:rPr>
                      </w:pPr>
                    </w:p>
                    <w:p w14:paraId="22A25B1E" w14:textId="77777777" w:rsidR="00E6530E" w:rsidRDefault="00E6530E" w:rsidP="00E6530E">
                      <w:pPr>
                        <w:spacing w:after="0" w:line="240" w:lineRule="auto"/>
                        <w:rPr>
                          <w:rFonts w:ascii="Franklin Gothic Book" w:hAnsi="Franklin Gothic Book"/>
                          <w:i/>
                        </w:rPr>
                      </w:pPr>
                      <w:r w:rsidRPr="004E4059">
                        <w:rPr>
                          <w:rFonts w:ascii="Franklin Gothic Book" w:hAnsi="Franklin Gothic Book"/>
                          <w:i/>
                        </w:rPr>
                        <w:t xml:space="preserve">The five </w:t>
                      </w:r>
                      <w:r>
                        <w:rPr>
                          <w:rFonts w:ascii="Franklin Gothic Book" w:hAnsi="Franklin Gothic Book"/>
                          <w:i/>
                        </w:rPr>
                        <w:t>elements</w:t>
                      </w:r>
                      <w:r w:rsidR="006F4525">
                        <w:rPr>
                          <w:rFonts w:ascii="Franklin Gothic Book" w:hAnsi="Franklin Gothic Book"/>
                          <w:i/>
                        </w:rPr>
                        <w:t xml:space="preserve"> abo</w:t>
                      </w:r>
                      <w:r w:rsidRPr="004E4059">
                        <w:rPr>
                          <w:rFonts w:ascii="Franklin Gothic Book" w:hAnsi="Franklin Gothic Book"/>
                          <w:i/>
                        </w:rPr>
                        <w:t xml:space="preserve">ve provide the framing for this asset map. </w:t>
                      </w:r>
                    </w:p>
                    <w:p w14:paraId="498E58E7" w14:textId="77777777" w:rsidR="00E6530E" w:rsidRPr="004E4059" w:rsidRDefault="00E6530E" w:rsidP="00E6530E">
                      <w:pPr>
                        <w:spacing w:after="0" w:line="240" w:lineRule="auto"/>
                        <w:rPr>
                          <w:rFonts w:ascii="Franklin Gothic Book" w:hAnsi="Franklin Gothic Book"/>
                          <w:i/>
                        </w:rPr>
                      </w:pPr>
                    </w:p>
                    <w:p w14:paraId="74F568F0" w14:textId="3F2AD655" w:rsidR="00E6530E" w:rsidRPr="004E4059" w:rsidRDefault="00E6530E" w:rsidP="00E6530E">
                      <w:pPr>
                        <w:spacing w:after="0" w:line="240" w:lineRule="auto"/>
                        <w:rPr>
                          <w:rFonts w:ascii="Franklin Gothic Book" w:hAnsi="Franklin Gothic Book"/>
                          <w:i/>
                        </w:rPr>
                      </w:pPr>
                      <w:r w:rsidRPr="004E4059">
                        <w:rPr>
                          <w:rFonts w:ascii="Franklin Gothic Book" w:hAnsi="Franklin Gothic Book"/>
                          <w:i/>
                        </w:rPr>
                        <w:t xml:space="preserve">The latest in the science of learning and development affirms that learning is optimized when it starts with strong relationships in environments filled with safety and belonging.  In these contexts, children and youth can then fully engage in challenging experiences and opportunities.  </w:t>
                      </w:r>
                      <w:r w:rsidR="00CD6355" w:rsidRPr="004E4059">
                        <w:rPr>
                          <w:rFonts w:ascii="Franklin Gothic Book" w:hAnsi="Franklin Gothic Book"/>
                          <w:i/>
                        </w:rPr>
                        <w:t>Intentional development of skills, mindsets and habits can be best maximized when these other components are in place.</w:t>
                      </w:r>
                      <w:r w:rsidR="00CD6355">
                        <w:rPr>
                          <w:rFonts w:ascii="Franklin Gothic Book" w:hAnsi="Franklin Gothic Book"/>
                          <w:i/>
                        </w:rPr>
                        <w:t xml:space="preserve"> </w:t>
                      </w:r>
                      <w:r w:rsidRPr="004E4059">
                        <w:rPr>
                          <w:rFonts w:ascii="Franklin Gothic Book" w:hAnsi="Franklin Gothic Book"/>
                          <w:i/>
                        </w:rPr>
                        <w:t xml:space="preserve">Optimal learning and engagement also </w:t>
                      </w:r>
                      <w:proofErr w:type="gramStart"/>
                      <w:r w:rsidRPr="004E4059">
                        <w:rPr>
                          <w:rFonts w:ascii="Franklin Gothic Book" w:hAnsi="Franklin Gothic Book"/>
                          <w:i/>
                        </w:rPr>
                        <w:t>requires</w:t>
                      </w:r>
                      <w:proofErr w:type="gramEnd"/>
                      <w:r w:rsidRPr="004E4059">
                        <w:rPr>
                          <w:rFonts w:ascii="Franklin Gothic Book" w:hAnsi="Franklin Gothic Book"/>
                          <w:i/>
                        </w:rPr>
                        <w:t xml:space="preserve"> personalization</w:t>
                      </w:r>
                      <w:r>
                        <w:rPr>
                          <w:rFonts w:ascii="Franklin Gothic Book" w:hAnsi="Franklin Gothic Book"/>
                          <w:i/>
                        </w:rPr>
                        <w:t xml:space="preserve"> – individualized supports – </w:t>
                      </w:r>
                      <w:r w:rsidRPr="004E4059">
                        <w:rPr>
                          <w:rFonts w:ascii="Franklin Gothic Book" w:hAnsi="Franklin Gothic Book"/>
                          <w:i/>
                        </w:rPr>
                        <w:t xml:space="preserve">that takes into account a young person’s specific needs.  </w:t>
                      </w:r>
                    </w:p>
                    <w:p w14:paraId="05C7A2EC" w14:textId="77777777" w:rsidR="00E6530E" w:rsidRPr="000A47E0" w:rsidRDefault="00E6530E">
                      <w:pPr>
                        <w:rPr>
                          <w:sz w:val="20"/>
                          <w:szCs w:val="20"/>
                        </w:rPr>
                      </w:pPr>
                    </w:p>
                  </w:txbxContent>
                </v:textbox>
                <w10:wrap type="tight"/>
              </v:shape>
            </w:pict>
          </mc:Fallback>
        </mc:AlternateContent>
      </w:r>
      <w:r w:rsidR="006950CC" w:rsidRPr="004B18E5">
        <w:rPr>
          <w:rFonts w:ascii="Franklin Gothic Book" w:hAnsi="Franklin Gothic Book"/>
        </w:rPr>
        <w:t xml:space="preserve">Why is it important to explore this question? </w:t>
      </w:r>
      <w:r w:rsidR="006950CC" w:rsidRPr="004E4059">
        <w:rPr>
          <w:rFonts w:ascii="Franklin Gothic Book" w:hAnsi="Franklin Gothic Book"/>
        </w:rPr>
        <w:t>Research has shown that if front-line staff and administrators do not get signals that they should proactively take specific actions in their work they will tend to be risk-averse or assume that the positive developmental practices that they are employing are actually exceptions to the institutional expectations.</w:t>
      </w:r>
      <w:r w:rsidR="003F63EB">
        <w:rPr>
          <w:rStyle w:val="FootnoteReference"/>
          <w:rFonts w:ascii="Franklin Gothic Book" w:hAnsi="Franklin Gothic Book"/>
        </w:rPr>
        <w:footnoteReference w:id="3"/>
      </w:r>
      <w:r w:rsidR="006950CC" w:rsidRPr="004E4059">
        <w:rPr>
          <w:rFonts w:ascii="Franklin Gothic Book" w:hAnsi="Franklin Gothic Book"/>
        </w:rPr>
        <w:t xml:space="preserve"> </w:t>
      </w:r>
      <w:r w:rsidR="006950CC" w:rsidRPr="004B18E5">
        <w:rPr>
          <w:rFonts w:ascii="Franklin Gothic Book" w:hAnsi="Franklin Gothic Book"/>
        </w:rPr>
        <w:t>By reviewing our current operating procedures, policies and practices against the research of what makes a difference, we can work together to ensure that every young person is receiving the most effective services, supports and opportunities possible.</w:t>
      </w:r>
    </w:p>
    <w:p w14:paraId="334008D7" w14:textId="77777777" w:rsidR="00655781" w:rsidRDefault="00655781">
      <w:pPr>
        <w:rPr>
          <w:rFonts w:ascii="Franklin Gothic Demi" w:eastAsia="Times New Roman" w:hAnsi="Franklin Gothic Demi" w:cs="Times New Roman"/>
          <w:sz w:val="31"/>
          <w:szCs w:val="31"/>
        </w:rPr>
      </w:pPr>
      <w:r>
        <w:rPr>
          <w:rFonts w:ascii="Franklin Gothic Demi" w:eastAsia="Times New Roman" w:hAnsi="Franklin Gothic Demi" w:cs="Times New Roman"/>
          <w:sz w:val="31"/>
          <w:szCs w:val="31"/>
        </w:rPr>
        <w:br w:type="page"/>
      </w:r>
    </w:p>
    <w:p w14:paraId="33269320" w14:textId="651B9608" w:rsidR="00E6530E" w:rsidRPr="00E6530E" w:rsidRDefault="00865C31" w:rsidP="00E31FDF">
      <w:pPr>
        <w:spacing w:after="120"/>
        <w:jc w:val="right"/>
        <w:rPr>
          <w:rFonts w:ascii="Franklin Gothic Demi" w:eastAsia="Times New Roman" w:hAnsi="Franklin Gothic Demi" w:cs="Times New Roman"/>
          <w:sz w:val="31"/>
          <w:szCs w:val="31"/>
        </w:rPr>
      </w:pPr>
      <w:r>
        <w:rPr>
          <w:noProof/>
        </w:rPr>
        <w:lastRenderedPageBreak/>
        <w:drawing>
          <wp:anchor distT="0" distB="0" distL="114300" distR="114300" simplePos="0" relativeHeight="251670528" behindDoc="1" locked="0" layoutInCell="1" allowOverlap="1" wp14:anchorId="0C4F60FF" wp14:editId="5C48D14E">
            <wp:simplePos x="0" y="0"/>
            <wp:positionH relativeFrom="column">
              <wp:posOffset>-81915</wp:posOffset>
            </wp:positionH>
            <wp:positionV relativeFrom="paragraph">
              <wp:posOffset>320499</wp:posOffset>
            </wp:positionV>
            <wp:extent cx="1606550" cy="1342390"/>
            <wp:effectExtent l="0" t="0" r="0" b="0"/>
            <wp:wrapTight wrapText="bothSides">
              <wp:wrapPolygon edited="0">
                <wp:start x="0" y="0"/>
                <wp:lineTo x="0" y="21150"/>
                <wp:lineTo x="21258" y="21150"/>
                <wp:lineTo x="2125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550" cy="134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355">
        <w:rPr>
          <w:rFonts w:ascii="Franklin Gothic Demi" w:eastAsia="Times New Roman" w:hAnsi="Franklin Gothic Demi" w:cs="Times New Roman"/>
          <w:sz w:val="31"/>
          <w:szCs w:val="31"/>
        </w:rPr>
        <w:t>Guiding Principle</w:t>
      </w:r>
      <w:r w:rsidR="00E31FDF">
        <w:rPr>
          <w:rFonts w:ascii="Franklin Gothic Demi" w:eastAsia="Times New Roman" w:hAnsi="Franklin Gothic Demi" w:cs="Times New Roman"/>
          <w:sz w:val="31"/>
          <w:szCs w:val="31"/>
        </w:rPr>
        <w:t>s o</w:t>
      </w:r>
      <w:r w:rsidR="00E6530E" w:rsidRPr="00E6530E">
        <w:rPr>
          <w:rFonts w:ascii="Franklin Gothic Demi" w:eastAsia="Times New Roman" w:hAnsi="Franklin Gothic Demi" w:cs="Times New Roman"/>
          <w:sz w:val="31"/>
          <w:szCs w:val="31"/>
        </w:rPr>
        <w:t xml:space="preserve">f Developmental Practice: </w:t>
      </w:r>
      <w:r w:rsidR="00E31FDF">
        <w:rPr>
          <w:rFonts w:ascii="Franklin Gothic Demi" w:eastAsia="Times New Roman" w:hAnsi="Franklin Gothic Demi" w:cs="Times New Roman"/>
          <w:sz w:val="31"/>
          <w:szCs w:val="31"/>
        </w:rPr>
        <w:br/>
      </w:r>
      <w:r w:rsidR="00E6530E" w:rsidRPr="00E6530E">
        <w:rPr>
          <w:rFonts w:ascii="Franklin Gothic Demi" w:eastAsia="Times New Roman" w:hAnsi="Franklin Gothic Demi" w:cs="Times New Roman"/>
          <w:sz w:val="31"/>
          <w:szCs w:val="31"/>
        </w:rPr>
        <w:t>How Important? How Much Practiced?</w:t>
      </w:r>
    </w:p>
    <w:p w14:paraId="5C83292E" w14:textId="48584E62" w:rsidR="00E6530E" w:rsidRDefault="00E6530E" w:rsidP="00E31FDF">
      <w:pPr>
        <w:pStyle w:val="RB21BodyCopy"/>
        <w:spacing w:line="264" w:lineRule="auto"/>
        <w:ind w:left="2610" w:right="-101"/>
        <w:contextualSpacing w:val="0"/>
        <w:rPr>
          <w:noProof/>
          <w:sz w:val="24"/>
        </w:rPr>
      </w:pPr>
      <w:r w:rsidRPr="00293328">
        <w:rPr>
          <w:rFonts w:ascii="Franklin Gothic Book" w:hAnsi="Franklin Gothic Book"/>
          <w:sz w:val="20"/>
        </w:rPr>
        <w:t xml:space="preserve">How much </w:t>
      </w:r>
      <w:r>
        <w:rPr>
          <w:rFonts w:ascii="Franklin Gothic Book" w:hAnsi="Franklin Gothic Book"/>
          <w:sz w:val="20"/>
        </w:rPr>
        <w:t>are developmental practices</w:t>
      </w:r>
      <w:r w:rsidRPr="00293328">
        <w:rPr>
          <w:rFonts w:ascii="Franklin Gothic Book" w:hAnsi="Franklin Gothic Book"/>
          <w:sz w:val="20"/>
        </w:rPr>
        <w:t xml:space="preserve"> actually codified and supported within </w:t>
      </w:r>
      <w:r w:rsidR="00655781">
        <w:rPr>
          <w:rFonts w:ascii="Franklin Gothic Book" w:hAnsi="Franklin Gothic Book"/>
          <w:sz w:val="20"/>
        </w:rPr>
        <w:t xml:space="preserve">your organization? </w:t>
      </w:r>
      <w:r w:rsidRPr="00293328">
        <w:rPr>
          <w:rFonts w:ascii="Franklin Gothic Book" w:hAnsi="Franklin Gothic Book"/>
          <w:sz w:val="20"/>
        </w:rPr>
        <w:t>A wealth of science tells us these elements of practi</w:t>
      </w:r>
      <w:r w:rsidR="001177C2">
        <w:rPr>
          <w:rFonts w:ascii="Franklin Gothic Book" w:hAnsi="Franklin Gothic Book"/>
          <w:sz w:val="20"/>
        </w:rPr>
        <w:t xml:space="preserve">ce are essential for development. </w:t>
      </w:r>
      <w:r w:rsidRPr="00293328">
        <w:rPr>
          <w:rFonts w:ascii="Franklin Gothic Book" w:hAnsi="Franklin Gothic Book"/>
          <w:sz w:val="20"/>
        </w:rPr>
        <w:t xml:space="preserve">By ensuring people have these supports, we optimize their ability to experience whatever it </w:t>
      </w:r>
      <w:r w:rsidR="00430856">
        <w:rPr>
          <w:rFonts w:ascii="Franklin Gothic Book" w:hAnsi="Franklin Gothic Book"/>
          <w:sz w:val="20"/>
        </w:rPr>
        <w:t xml:space="preserve">is we want them to experience. </w:t>
      </w:r>
      <w:r w:rsidRPr="00293328">
        <w:rPr>
          <w:rFonts w:ascii="Franklin Gothic Book" w:hAnsi="Franklin Gothic Book"/>
          <w:sz w:val="20"/>
        </w:rPr>
        <w:t xml:space="preserve">There are likely many policies, practices, procedures and programs that your </w:t>
      </w:r>
      <w:r w:rsidR="00655781">
        <w:rPr>
          <w:rFonts w:ascii="Franklin Gothic Book" w:hAnsi="Franklin Gothic Book"/>
          <w:sz w:val="20"/>
        </w:rPr>
        <w:t xml:space="preserve">organization </w:t>
      </w:r>
      <w:r w:rsidRPr="00293328">
        <w:rPr>
          <w:rFonts w:ascii="Franklin Gothic Book" w:hAnsi="Franklin Gothic Book"/>
          <w:sz w:val="20"/>
        </w:rPr>
        <w:t xml:space="preserve">says should explicitly support these practices. There could also be mandates that your </w:t>
      </w:r>
      <w:r w:rsidR="00655781">
        <w:rPr>
          <w:rFonts w:ascii="Franklin Gothic Book" w:hAnsi="Franklin Gothic Book"/>
          <w:sz w:val="20"/>
        </w:rPr>
        <w:t>organization</w:t>
      </w:r>
      <w:r w:rsidRPr="00293328">
        <w:rPr>
          <w:rFonts w:ascii="Franklin Gothic Book" w:hAnsi="Franklin Gothic Book"/>
          <w:sz w:val="20"/>
        </w:rPr>
        <w:t xml:space="preserve"> requires that seem counter to these practices. Th</w:t>
      </w:r>
      <w:r w:rsidR="00E27E48">
        <w:rPr>
          <w:rFonts w:ascii="Franklin Gothic Book" w:hAnsi="Franklin Gothic Book"/>
          <w:sz w:val="20"/>
        </w:rPr>
        <w:t>is</w:t>
      </w:r>
      <w:r w:rsidRPr="00293328">
        <w:rPr>
          <w:rFonts w:ascii="Franklin Gothic Book" w:hAnsi="Franklin Gothic Book"/>
          <w:sz w:val="20"/>
        </w:rPr>
        <w:t xml:space="preserve"> questionnaire is designed as a first step in a conversation with your colleagues and counterparts about how you are defining and supporting </w:t>
      </w:r>
      <w:r>
        <w:rPr>
          <w:rFonts w:ascii="Franklin Gothic Book" w:hAnsi="Franklin Gothic Book"/>
          <w:sz w:val="20"/>
        </w:rPr>
        <w:t>developmental practices.</w:t>
      </w:r>
      <w:r w:rsidRPr="00293328">
        <w:rPr>
          <w:noProof/>
        </w:rPr>
        <w:drawing>
          <wp:anchor distT="0" distB="0" distL="114300" distR="114300" simplePos="0" relativeHeight="251671552" behindDoc="0" locked="0" layoutInCell="1" allowOverlap="1" wp14:anchorId="70927FCA" wp14:editId="3F3D5C26">
            <wp:simplePos x="0" y="0"/>
            <wp:positionH relativeFrom="column">
              <wp:posOffset>8608088</wp:posOffset>
            </wp:positionH>
            <wp:positionV relativeFrom="page">
              <wp:posOffset>7034226</wp:posOffset>
            </wp:positionV>
            <wp:extent cx="609600" cy="269240"/>
            <wp:effectExtent l="0" t="0" r="0" b="0"/>
            <wp:wrapNone/>
            <wp:docPr id="10" name="Picture 10" descr="C:\Users\Laura\Desktop\Forum_pri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a\Desktop\Forum_print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26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FE8">
        <w:rPr>
          <w:noProof/>
          <w:sz w:val="24"/>
        </w:rPr>
        <w:t xml:space="preserve"> </w:t>
      </w:r>
      <w:r w:rsidR="00C25EF7">
        <w:rPr>
          <w:noProof/>
          <w:sz w:val="24"/>
        </w:rPr>
        <w:br/>
      </w:r>
    </w:p>
    <w:tbl>
      <w:tblPr>
        <w:tblW w:w="10980" w:type="dxa"/>
        <w:tblInd w:w="-275" w:type="dxa"/>
        <w:tblBorders>
          <w:top w:val="single" w:sz="4" w:space="0" w:color="5A5B5D"/>
          <w:left w:val="single" w:sz="4" w:space="0" w:color="5A5B5D"/>
          <w:bottom w:val="single" w:sz="4" w:space="0" w:color="5A5B5D"/>
          <w:right w:val="single" w:sz="4" w:space="0" w:color="5A5B5D"/>
          <w:insideH w:val="single" w:sz="4" w:space="0" w:color="5A5B5D"/>
          <w:insideV w:val="single" w:sz="4" w:space="0" w:color="5A5B5D"/>
        </w:tblBorders>
        <w:tblLayout w:type="fixed"/>
        <w:tblCellMar>
          <w:top w:w="43" w:type="dxa"/>
          <w:left w:w="43" w:type="dxa"/>
          <w:bottom w:w="43" w:type="dxa"/>
          <w:right w:w="43" w:type="dxa"/>
        </w:tblCellMar>
        <w:tblLook w:val="01E0" w:firstRow="1" w:lastRow="1" w:firstColumn="1" w:lastColumn="1" w:noHBand="0" w:noVBand="0"/>
      </w:tblPr>
      <w:tblGrid>
        <w:gridCol w:w="630"/>
        <w:gridCol w:w="7020"/>
        <w:gridCol w:w="1620"/>
        <w:gridCol w:w="1710"/>
      </w:tblGrid>
      <w:tr w:rsidR="001177C2" w:rsidRPr="00A37798" w14:paraId="456364D2" w14:textId="77777777" w:rsidTr="00C25EF7">
        <w:trPr>
          <w:cantSplit/>
          <w:trHeight w:val="172"/>
        </w:trPr>
        <w:tc>
          <w:tcPr>
            <w:tcW w:w="7650" w:type="dxa"/>
            <w:gridSpan w:val="2"/>
            <w:shd w:val="clear" w:color="auto" w:fill="D9D9D9"/>
            <w:noWrap/>
            <w:vAlign w:val="center"/>
          </w:tcPr>
          <w:p w14:paraId="2ECFC1AC" w14:textId="45DEAC46" w:rsidR="001177C2" w:rsidRPr="00C25EF7" w:rsidRDefault="001177C2" w:rsidP="00430856">
            <w:pPr>
              <w:pStyle w:val="Heading1"/>
              <w:spacing w:before="0" w:after="0" w:line="240" w:lineRule="auto"/>
              <w:rPr>
                <w:rFonts w:ascii="Arial Narrow" w:hAnsi="Arial Narrow"/>
                <w:sz w:val="18"/>
                <w:szCs w:val="18"/>
              </w:rPr>
            </w:pPr>
            <w:r w:rsidRPr="00C25EF7">
              <w:rPr>
                <w:rFonts w:ascii="Arial Narrow" w:hAnsi="Arial Narrow"/>
                <w:sz w:val="18"/>
                <w:szCs w:val="18"/>
              </w:rPr>
              <w:t>Instructions: Using the colum</w:t>
            </w:r>
            <w:r w:rsidR="00430856" w:rsidRPr="00C25EF7">
              <w:rPr>
                <w:rFonts w:ascii="Arial Narrow" w:hAnsi="Arial Narrow"/>
                <w:sz w:val="18"/>
                <w:szCs w:val="18"/>
              </w:rPr>
              <w:t>n</w:t>
            </w:r>
            <w:r w:rsidRPr="00C25EF7">
              <w:rPr>
                <w:rFonts w:ascii="Arial Narrow" w:hAnsi="Arial Narrow"/>
                <w:sz w:val="18"/>
                <w:szCs w:val="18"/>
              </w:rPr>
              <w:t>s on the right, please rate each of the below categories from 1 (low) to 5 (high) on how important you feel it is and how well it is currently being p</w:t>
            </w:r>
            <w:r w:rsidR="00E27E48" w:rsidRPr="00C25EF7">
              <w:rPr>
                <w:rFonts w:ascii="Arial Narrow" w:hAnsi="Arial Narrow"/>
                <w:sz w:val="18"/>
                <w:szCs w:val="18"/>
              </w:rPr>
              <w:t>racticed</w:t>
            </w:r>
            <w:r w:rsidRPr="00C25EF7">
              <w:rPr>
                <w:rFonts w:ascii="Arial Narrow" w:hAnsi="Arial Narrow"/>
                <w:sz w:val="18"/>
                <w:szCs w:val="18"/>
              </w:rPr>
              <w:t xml:space="preserve"> across your </w:t>
            </w:r>
            <w:r w:rsidR="00C25EF7">
              <w:rPr>
                <w:rFonts w:ascii="Arial Narrow" w:hAnsi="Arial Narrow"/>
                <w:sz w:val="18"/>
                <w:szCs w:val="18"/>
              </w:rPr>
              <w:t xml:space="preserve">program, organization, agency, or </w:t>
            </w:r>
            <w:r w:rsidRPr="00C25EF7">
              <w:rPr>
                <w:rFonts w:ascii="Arial Narrow" w:hAnsi="Arial Narrow"/>
                <w:sz w:val="18"/>
                <w:szCs w:val="18"/>
              </w:rPr>
              <w:t xml:space="preserve">system. </w:t>
            </w:r>
          </w:p>
        </w:tc>
        <w:tc>
          <w:tcPr>
            <w:tcW w:w="1620" w:type="dxa"/>
            <w:shd w:val="clear" w:color="auto" w:fill="D0CECE" w:themeFill="background2" w:themeFillShade="E6"/>
            <w:noWrap/>
            <w:vAlign w:val="center"/>
          </w:tcPr>
          <w:p w14:paraId="18BC9171" w14:textId="77777777" w:rsidR="00C25EF7" w:rsidRDefault="001177C2" w:rsidP="00430856">
            <w:pPr>
              <w:spacing w:after="0" w:line="240" w:lineRule="auto"/>
              <w:jc w:val="center"/>
              <w:rPr>
                <w:rFonts w:ascii="Arial Narrow" w:hAnsi="Arial Narrow" w:cs="Arial"/>
                <w:b/>
                <w:caps/>
                <w:sz w:val="18"/>
                <w:szCs w:val="18"/>
              </w:rPr>
            </w:pPr>
            <w:r w:rsidRPr="00C25EF7">
              <w:rPr>
                <w:rFonts w:ascii="Arial Narrow" w:hAnsi="Arial Narrow" w:cs="Arial"/>
                <w:b/>
                <w:caps/>
                <w:sz w:val="18"/>
                <w:szCs w:val="18"/>
              </w:rPr>
              <w:t>HOW IMPORTANT?</w:t>
            </w:r>
          </w:p>
          <w:p w14:paraId="7345B5E7" w14:textId="68D399B5" w:rsidR="001177C2" w:rsidRPr="00C25EF7" w:rsidRDefault="001177C2" w:rsidP="00430856">
            <w:pPr>
              <w:spacing w:after="0" w:line="240" w:lineRule="auto"/>
              <w:jc w:val="center"/>
              <w:rPr>
                <w:rFonts w:ascii="Arial Narrow" w:hAnsi="Arial Narrow" w:cs="Arial"/>
                <w:b/>
                <w:caps/>
                <w:sz w:val="18"/>
                <w:szCs w:val="18"/>
              </w:rPr>
            </w:pPr>
            <w:r w:rsidRPr="00C25EF7">
              <w:rPr>
                <w:rFonts w:ascii="Arial Narrow" w:hAnsi="Arial Narrow" w:cs="Arial"/>
                <w:b/>
                <w:caps/>
                <w:sz w:val="18"/>
                <w:szCs w:val="18"/>
              </w:rPr>
              <w:t xml:space="preserve"> </w:t>
            </w:r>
          </w:p>
          <w:p w14:paraId="546057A0" w14:textId="77777777" w:rsidR="001177C2" w:rsidRPr="00C25EF7" w:rsidRDefault="001177C2" w:rsidP="00430856">
            <w:pPr>
              <w:spacing w:after="0" w:line="240" w:lineRule="auto"/>
              <w:jc w:val="center"/>
              <w:rPr>
                <w:rFonts w:ascii="Arial Narrow" w:hAnsi="Arial Narrow" w:cs="Arial"/>
                <w:b/>
                <w:caps/>
                <w:sz w:val="18"/>
                <w:szCs w:val="18"/>
              </w:rPr>
            </w:pPr>
            <w:r w:rsidRPr="00C25EF7">
              <w:rPr>
                <w:rFonts w:ascii="Arial Narrow" w:hAnsi="Arial Narrow" w:cs="Arial"/>
                <w:b/>
                <w:caps/>
                <w:sz w:val="18"/>
                <w:szCs w:val="18"/>
              </w:rPr>
              <w:t>1 (low) – 5 (High)</w:t>
            </w:r>
          </w:p>
        </w:tc>
        <w:tc>
          <w:tcPr>
            <w:tcW w:w="1710" w:type="dxa"/>
            <w:shd w:val="clear" w:color="auto" w:fill="D0CECE" w:themeFill="background2" w:themeFillShade="E6"/>
            <w:noWrap/>
            <w:vAlign w:val="center"/>
          </w:tcPr>
          <w:p w14:paraId="0F0E86F2" w14:textId="77777777" w:rsidR="001177C2" w:rsidRPr="00C25EF7" w:rsidRDefault="001177C2" w:rsidP="00430856">
            <w:pPr>
              <w:spacing w:after="0" w:line="240" w:lineRule="auto"/>
              <w:jc w:val="center"/>
              <w:rPr>
                <w:rFonts w:ascii="Arial Narrow" w:hAnsi="Arial Narrow" w:cs="Arial"/>
                <w:b/>
                <w:caps/>
                <w:sz w:val="18"/>
                <w:szCs w:val="18"/>
              </w:rPr>
            </w:pPr>
            <w:r w:rsidRPr="00C25EF7">
              <w:rPr>
                <w:rFonts w:ascii="Arial Narrow" w:hAnsi="Arial Narrow" w:cs="Arial"/>
                <w:b/>
                <w:caps/>
                <w:sz w:val="18"/>
                <w:szCs w:val="18"/>
              </w:rPr>
              <w:t>How much practiced?</w:t>
            </w:r>
          </w:p>
          <w:p w14:paraId="3B5BA205" w14:textId="77777777" w:rsidR="001177C2" w:rsidRPr="00C25EF7" w:rsidRDefault="001177C2" w:rsidP="00430856">
            <w:pPr>
              <w:spacing w:after="0" w:line="240" w:lineRule="auto"/>
              <w:jc w:val="center"/>
              <w:rPr>
                <w:rFonts w:ascii="Arial Narrow" w:hAnsi="Arial Narrow" w:cs="Arial"/>
                <w:b/>
                <w:caps/>
                <w:sz w:val="18"/>
                <w:szCs w:val="18"/>
              </w:rPr>
            </w:pPr>
            <w:r w:rsidRPr="00C25EF7">
              <w:rPr>
                <w:rFonts w:ascii="Arial Narrow" w:hAnsi="Arial Narrow" w:cs="Arial"/>
                <w:b/>
                <w:caps/>
                <w:sz w:val="18"/>
                <w:szCs w:val="18"/>
              </w:rPr>
              <w:t>1 (low) – 5 (High)</w:t>
            </w:r>
          </w:p>
        </w:tc>
      </w:tr>
      <w:tr w:rsidR="001177C2" w:rsidRPr="00A37798" w14:paraId="6875A80F" w14:textId="77777777" w:rsidTr="00C25EF7">
        <w:trPr>
          <w:cantSplit/>
          <w:trHeight w:val="352"/>
        </w:trPr>
        <w:tc>
          <w:tcPr>
            <w:tcW w:w="630" w:type="dxa"/>
            <w:vMerge w:val="restart"/>
            <w:shd w:val="clear" w:color="auto" w:fill="4EC2E2"/>
            <w:textDirection w:val="btLr"/>
            <w:vAlign w:val="center"/>
          </w:tcPr>
          <w:p w14:paraId="111F9F50" w14:textId="6CEC32F9" w:rsidR="001177C2" w:rsidRPr="00031023" w:rsidRDefault="00E31FDF" w:rsidP="00F93698">
            <w:pPr>
              <w:spacing w:after="0" w:line="240" w:lineRule="auto"/>
              <w:contextualSpacing/>
              <w:jc w:val="center"/>
              <w:rPr>
                <w:rFonts w:ascii="Arial Narrow" w:hAnsi="Arial Narrow" w:cs="Arial"/>
                <w:b/>
                <w:caps/>
                <w:color w:val="FFFFFF"/>
                <w:sz w:val="14"/>
                <w:szCs w:val="14"/>
              </w:rPr>
            </w:pPr>
            <w:r>
              <w:rPr>
                <w:rFonts w:ascii="Arial Narrow" w:hAnsi="Arial Narrow" w:cs="Arial"/>
                <w:b/>
                <w:caps/>
                <w:color w:val="FFFFFF"/>
                <w:sz w:val="14"/>
                <w:szCs w:val="14"/>
              </w:rPr>
              <w:t>Positive developmental relationship</w:t>
            </w:r>
            <w:r w:rsidR="001177C2" w:rsidRPr="00031023">
              <w:rPr>
                <w:rFonts w:ascii="Arial Narrow" w:hAnsi="Arial Narrow" w:cs="Arial"/>
                <w:b/>
                <w:caps/>
                <w:color w:val="FFFFFF"/>
                <w:sz w:val="14"/>
                <w:szCs w:val="14"/>
              </w:rPr>
              <w:t>S</w:t>
            </w:r>
          </w:p>
        </w:tc>
        <w:tc>
          <w:tcPr>
            <w:tcW w:w="7020" w:type="dxa"/>
            <w:tcBorders>
              <w:bottom w:val="single" w:sz="4" w:space="0" w:color="5A5B5D"/>
            </w:tcBorders>
            <w:vAlign w:val="center"/>
          </w:tcPr>
          <w:p w14:paraId="052F7D6F" w14:textId="182D8A8E" w:rsidR="001177C2" w:rsidRPr="00E31FDF" w:rsidRDefault="00E31FDF" w:rsidP="00F93698">
            <w:pPr>
              <w:pStyle w:val="ListParagraph"/>
              <w:autoSpaceDE w:val="0"/>
              <w:autoSpaceDN w:val="0"/>
              <w:spacing w:after="0" w:line="240" w:lineRule="auto"/>
              <w:ind w:left="0"/>
              <w:rPr>
                <w:rFonts w:ascii="Times New Roman" w:hAnsi="Times New Roman" w:cs="Times New Roman"/>
                <w:sz w:val="18"/>
                <w:szCs w:val="18"/>
              </w:rPr>
            </w:pPr>
            <w:r w:rsidRPr="00E31FDF">
              <w:rPr>
                <w:rFonts w:ascii="Times New Roman" w:hAnsi="Times New Roman" w:cs="Times New Roman"/>
                <w:b/>
                <w:bCs/>
                <w:sz w:val="18"/>
                <w:szCs w:val="18"/>
              </w:rPr>
              <w:t>Form developmental relationships between adults and young people</w:t>
            </w:r>
            <w:r w:rsidRPr="00E31FDF">
              <w:rPr>
                <w:rFonts w:ascii="Times New Roman" w:hAnsi="Times New Roman" w:cs="Times New Roman"/>
                <w:sz w:val="18"/>
                <w:szCs w:val="18"/>
              </w:rPr>
              <w:t xml:space="preserve"> that promote leadership and help young people discover their strengths, expand their possibilities, and challenge growth</w:t>
            </w:r>
            <w:r w:rsidR="001177C2" w:rsidRPr="00E31FDF">
              <w:rPr>
                <w:rFonts w:ascii="Times New Roman" w:hAnsi="Times New Roman" w:cs="Times New Roman"/>
                <w:sz w:val="18"/>
                <w:szCs w:val="18"/>
              </w:rPr>
              <w:t>.</w:t>
            </w:r>
          </w:p>
        </w:tc>
        <w:tc>
          <w:tcPr>
            <w:tcW w:w="1620" w:type="dxa"/>
            <w:tcBorders>
              <w:bottom w:val="single" w:sz="4" w:space="0" w:color="5A5B5D"/>
            </w:tcBorders>
            <w:vAlign w:val="center"/>
          </w:tcPr>
          <w:p w14:paraId="09EBB5BD" w14:textId="77777777" w:rsidR="001177C2" w:rsidRPr="00A37798" w:rsidRDefault="001177C2" w:rsidP="00F93698">
            <w:pPr>
              <w:spacing w:after="0" w:line="240" w:lineRule="auto"/>
              <w:contextualSpacing/>
              <w:jc w:val="center"/>
              <w:rPr>
                <w:rFonts w:ascii="Arial Narrow" w:hAnsi="Arial Narrow" w:cs="Arial"/>
                <w:sz w:val="18"/>
                <w:szCs w:val="18"/>
              </w:rPr>
            </w:pPr>
          </w:p>
        </w:tc>
        <w:tc>
          <w:tcPr>
            <w:tcW w:w="1710" w:type="dxa"/>
            <w:tcBorders>
              <w:bottom w:val="single" w:sz="4" w:space="0" w:color="5A5B5D"/>
            </w:tcBorders>
            <w:vAlign w:val="center"/>
          </w:tcPr>
          <w:p w14:paraId="32A7BFCB" w14:textId="77777777" w:rsidR="001177C2" w:rsidRPr="00A37798" w:rsidRDefault="001177C2" w:rsidP="00F93698">
            <w:pPr>
              <w:spacing w:after="0" w:line="240" w:lineRule="auto"/>
              <w:contextualSpacing/>
              <w:jc w:val="center"/>
              <w:rPr>
                <w:rFonts w:ascii="Arial Narrow" w:hAnsi="Arial Narrow" w:cs="Arial"/>
                <w:sz w:val="18"/>
                <w:szCs w:val="18"/>
              </w:rPr>
            </w:pPr>
          </w:p>
        </w:tc>
      </w:tr>
      <w:tr w:rsidR="00E31FDF" w:rsidRPr="00A37798" w14:paraId="3F5E22C1" w14:textId="77777777" w:rsidTr="00C25EF7">
        <w:trPr>
          <w:cantSplit/>
          <w:trHeight w:val="20"/>
        </w:trPr>
        <w:tc>
          <w:tcPr>
            <w:tcW w:w="630" w:type="dxa"/>
            <w:vMerge/>
            <w:shd w:val="clear" w:color="auto" w:fill="4EC2E2"/>
            <w:textDirection w:val="btLr"/>
            <w:vAlign w:val="center"/>
          </w:tcPr>
          <w:p w14:paraId="2953C435"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tcBorders>
              <w:bottom w:val="single" w:sz="4" w:space="0" w:color="5A5B5D"/>
            </w:tcBorders>
            <w:vAlign w:val="center"/>
          </w:tcPr>
          <w:p w14:paraId="0D9AEBC4" w14:textId="5C10A3EB"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eastAsia="Calibri" w:hAnsi="Times New Roman" w:cs="Times New Roman"/>
                <w:b/>
                <w:bCs/>
                <w:sz w:val="18"/>
                <w:szCs w:val="18"/>
              </w:rPr>
              <w:t>Foster meaningful</w:t>
            </w:r>
            <w:r w:rsidRPr="00E31FDF">
              <w:rPr>
                <w:rFonts w:ascii="Times New Roman" w:eastAsia="Calibri" w:hAnsi="Times New Roman" w:cs="Times New Roman"/>
                <w:b/>
                <w:bCs/>
                <w:color w:val="C00000"/>
                <w:sz w:val="18"/>
                <w:szCs w:val="18"/>
              </w:rPr>
              <w:t xml:space="preserve"> </w:t>
            </w:r>
            <w:r w:rsidRPr="00E31FDF">
              <w:rPr>
                <w:rFonts w:ascii="Times New Roman" w:eastAsia="Calibri" w:hAnsi="Times New Roman" w:cs="Times New Roman"/>
                <w:b/>
                <w:bCs/>
                <w:sz w:val="18"/>
                <w:szCs w:val="18"/>
              </w:rPr>
              <w:t xml:space="preserve">relationships among young people </w:t>
            </w:r>
            <w:r w:rsidRPr="00E31FDF">
              <w:rPr>
                <w:rFonts w:ascii="Times New Roman" w:eastAsia="Calibri" w:hAnsi="Times New Roman" w:cs="Times New Roman"/>
                <w:sz w:val="18"/>
                <w:szCs w:val="18"/>
              </w:rPr>
              <w:t>across shared identity and difference and building intentional connection around shared experiences.</w:t>
            </w:r>
          </w:p>
        </w:tc>
        <w:tc>
          <w:tcPr>
            <w:tcW w:w="1620" w:type="dxa"/>
            <w:tcBorders>
              <w:bottom w:val="single" w:sz="4" w:space="0" w:color="5A5B5D"/>
            </w:tcBorders>
            <w:vAlign w:val="center"/>
          </w:tcPr>
          <w:p w14:paraId="0B536EC3" w14:textId="77777777" w:rsidR="00E31FDF" w:rsidRPr="00A37798" w:rsidRDefault="00E31FDF" w:rsidP="00E31FDF">
            <w:pPr>
              <w:spacing w:after="0" w:line="240" w:lineRule="auto"/>
              <w:contextualSpacing/>
              <w:jc w:val="center"/>
              <w:rPr>
                <w:rFonts w:ascii="Arial Narrow" w:hAnsi="Arial Narrow" w:cs="Arial"/>
                <w:sz w:val="18"/>
                <w:szCs w:val="18"/>
              </w:rPr>
            </w:pPr>
          </w:p>
        </w:tc>
        <w:tc>
          <w:tcPr>
            <w:tcW w:w="1710" w:type="dxa"/>
            <w:tcBorders>
              <w:bottom w:val="single" w:sz="4" w:space="0" w:color="5A5B5D"/>
            </w:tcBorders>
            <w:vAlign w:val="center"/>
          </w:tcPr>
          <w:p w14:paraId="1ACCD6EE" w14:textId="77777777" w:rsidR="00E31FDF" w:rsidRPr="00A37798" w:rsidRDefault="00E31FDF" w:rsidP="00E31FDF">
            <w:pPr>
              <w:spacing w:after="0" w:line="240" w:lineRule="auto"/>
              <w:contextualSpacing/>
              <w:jc w:val="center"/>
              <w:rPr>
                <w:rFonts w:ascii="Arial Narrow" w:hAnsi="Arial Narrow" w:cs="Arial"/>
                <w:sz w:val="18"/>
                <w:szCs w:val="18"/>
              </w:rPr>
            </w:pPr>
          </w:p>
        </w:tc>
      </w:tr>
      <w:tr w:rsidR="00E31FDF" w:rsidRPr="00A37798" w14:paraId="2B3F5B87" w14:textId="77777777" w:rsidTr="00C25EF7">
        <w:trPr>
          <w:cantSplit/>
          <w:trHeight w:val="20"/>
        </w:trPr>
        <w:tc>
          <w:tcPr>
            <w:tcW w:w="630" w:type="dxa"/>
            <w:vMerge/>
            <w:shd w:val="clear" w:color="auto" w:fill="4EC2E2"/>
            <w:textDirection w:val="btLr"/>
            <w:vAlign w:val="center"/>
          </w:tcPr>
          <w:p w14:paraId="04BD3513"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tcBorders>
              <w:top w:val="single" w:sz="4" w:space="0" w:color="5A5B5D"/>
              <w:bottom w:val="single" w:sz="12" w:space="0" w:color="5A5B5D"/>
            </w:tcBorders>
            <w:vAlign w:val="center"/>
          </w:tcPr>
          <w:p w14:paraId="69A9C369" w14:textId="11606F50" w:rsidR="00E31FDF" w:rsidRPr="00E31FDF" w:rsidRDefault="00E31FDF" w:rsidP="00E31FDF">
            <w:pPr>
              <w:spacing w:after="0" w:line="240" w:lineRule="auto"/>
              <w:contextualSpacing/>
              <w:rPr>
                <w:rStyle w:val="RB21BodyCopyBoldChar"/>
                <w:rFonts w:ascii="Times New Roman" w:eastAsia="Calibri" w:hAnsi="Times New Roman"/>
                <w:b w:val="0"/>
                <w:szCs w:val="18"/>
              </w:rPr>
            </w:pPr>
            <w:r w:rsidRPr="00E31FDF">
              <w:rPr>
                <w:rFonts w:ascii="Times New Roman" w:hAnsi="Times New Roman" w:cs="Times New Roman"/>
                <w:b/>
                <w:bCs/>
                <w:sz w:val="18"/>
                <w:szCs w:val="18"/>
              </w:rPr>
              <w:t>Cultivate relationships with family members</w:t>
            </w:r>
            <w:r w:rsidRPr="00E31FDF">
              <w:rPr>
                <w:rFonts w:ascii="Times New Roman" w:hAnsi="Times New Roman" w:cs="Times New Roman"/>
                <w:sz w:val="18"/>
                <w:szCs w:val="18"/>
              </w:rPr>
              <w:t xml:space="preserve"> using a strengths-based lens that provides opportunities for engagement and collaborative decision-making</w:t>
            </w:r>
          </w:p>
        </w:tc>
        <w:tc>
          <w:tcPr>
            <w:tcW w:w="1620" w:type="dxa"/>
            <w:tcBorders>
              <w:top w:val="single" w:sz="4" w:space="0" w:color="5A5B5D"/>
              <w:bottom w:val="single" w:sz="12" w:space="0" w:color="5A5B5D"/>
            </w:tcBorders>
            <w:vAlign w:val="center"/>
          </w:tcPr>
          <w:p w14:paraId="30BA851D" w14:textId="77777777" w:rsidR="00E31FDF" w:rsidRPr="00A37798" w:rsidRDefault="00E31FDF" w:rsidP="00E31FDF">
            <w:pPr>
              <w:spacing w:after="0" w:line="240" w:lineRule="auto"/>
              <w:contextualSpacing/>
              <w:jc w:val="center"/>
              <w:rPr>
                <w:rFonts w:ascii="Arial Narrow" w:hAnsi="Arial Narrow" w:cs="Arial"/>
                <w:sz w:val="18"/>
                <w:szCs w:val="18"/>
              </w:rPr>
            </w:pPr>
          </w:p>
        </w:tc>
        <w:tc>
          <w:tcPr>
            <w:tcW w:w="1710" w:type="dxa"/>
            <w:tcBorders>
              <w:top w:val="single" w:sz="4" w:space="0" w:color="5A5B5D"/>
              <w:bottom w:val="single" w:sz="12" w:space="0" w:color="5A5B5D"/>
            </w:tcBorders>
            <w:vAlign w:val="center"/>
          </w:tcPr>
          <w:p w14:paraId="7E916793" w14:textId="77777777" w:rsidR="00E31FDF" w:rsidRPr="00A37798" w:rsidRDefault="00E31FDF" w:rsidP="00E31FDF">
            <w:pPr>
              <w:spacing w:after="0" w:line="240" w:lineRule="auto"/>
              <w:contextualSpacing/>
              <w:jc w:val="center"/>
              <w:rPr>
                <w:rFonts w:ascii="Arial Narrow" w:hAnsi="Arial Narrow" w:cs="Arial"/>
                <w:sz w:val="18"/>
                <w:szCs w:val="18"/>
              </w:rPr>
            </w:pPr>
          </w:p>
        </w:tc>
      </w:tr>
      <w:tr w:rsidR="00E31FDF" w:rsidRPr="00A37798" w14:paraId="2B381AA2" w14:textId="77777777" w:rsidTr="00C25EF7">
        <w:trPr>
          <w:trHeight w:val="593"/>
        </w:trPr>
        <w:tc>
          <w:tcPr>
            <w:tcW w:w="630" w:type="dxa"/>
            <w:vMerge w:val="restart"/>
            <w:shd w:val="clear" w:color="auto" w:fill="4EC2E2"/>
            <w:textDirection w:val="btLr"/>
            <w:vAlign w:val="center"/>
          </w:tcPr>
          <w:p w14:paraId="38A71DE3" w14:textId="3C6C5B0A" w:rsidR="00E31FDF" w:rsidRPr="00031023" w:rsidRDefault="00E31FDF" w:rsidP="00E31FDF">
            <w:pPr>
              <w:spacing w:after="0" w:line="240" w:lineRule="auto"/>
              <w:contextualSpacing/>
              <w:jc w:val="center"/>
              <w:rPr>
                <w:rFonts w:ascii="Arial Narrow" w:hAnsi="Arial Narrow" w:cs="Arial"/>
                <w:b/>
                <w:caps/>
                <w:color w:val="FFFFFF"/>
                <w:sz w:val="14"/>
                <w:szCs w:val="14"/>
              </w:rPr>
            </w:pPr>
            <w:r w:rsidRPr="00031023">
              <w:rPr>
                <w:rFonts w:ascii="Arial Narrow" w:hAnsi="Arial Narrow" w:cs="Arial"/>
                <w:b/>
                <w:caps/>
                <w:color w:val="FFFFFF"/>
                <w:sz w:val="14"/>
                <w:szCs w:val="14"/>
              </w:rPr>
              <w:t xml:space="preserve">ENVIRONMENTS FILLED WITH </w:t>
            </w:r>
            <w:r>
              <w:rPr>
                <w:rFonts w:ascii="Arial Narrow" w:hAnsi="Arial Narrow" w:cs="Arial"/>
                <w:b/>
                <w:caps/>
                <w:color w:val="FFFFFF"/>
                <w:sz w:val="14"/>
                <w:szCs w:val="14"/>
              </w:rPr>
              <w:br/>
            </w:r>
            <w:r w:rsidRPr="00031023">
              <w:rPr>
                <w:rFonts w:ascii="Arial Narrow" w:hAnsi="Arial Narrow" w:cs="Arial"/>
                <w:b/>
                <w:caps/>
                <w:color w:val="FFFFFF"/>
                <w:sz w:val="14"/>
                <w:szCs w:val="14"/>
              </w:rPr>
              <w:t xml:space="preserve">SAFETY </w:t>
            </w:r>
            <w:r>
              <w:rPr>
                <w:rFonts w:ascii="Arial Narrow" w:hAnsi="Arial Narrow" w:cs="Arial"/>
                <w:b/>
                <w:caps/>
                <w:color w:val="FFFFFF"/>
                <w:sz w:val="14"/>
                <w:szCs w:val="14"/>
              </w:rPr>
              <w:t>&amp;</w:t>
            </w:r>
            <w:r w:rsidRPr="00031023">
              <w:rPr>
                <w:rFonts w:ascii="Arial Narrow" w:hAnsi="Arial Narrow" w:cs="Arial"/>
                <w:b/>
                <w:caps/>
                <w:color w:val="FFFFFF"/>
                <w:sz w:val="14"/>
                <w:szCs w:val="14"/>
              </w:rPr>
              <w:t xml:space="preserve"> BELONGING</w:t>
            </w:r>
          </w:p>
        </w:tc>
        <w:tc>
          <w:tcPr>
            <w:tcW w:w="7020" w:type="dxa"/>
            <w:tcBorders>
              <w:top w:val="single" w:sz="12" w:space="0" w:color="5A5B5D"/>
              <w:bottom w:val="single" w:sz="4" w:space="0" w:color="5A5B5D"/>
            </w:tcBorders>
            <w:vAlign w:val="center"/>
          </w:tcPr>
          <w:p w14:paraId="7E32711E" w14:textId="09D9D8B9" w:rsidR="00E31FDF" w:rsidRPr="00E31FDF" w:rsidRDefault="00E31FDF" w:rsidP="00E31FDF">
            <w:pPr>
              <w:pStyle w:val="ListParagraph"/>
              <w:autoSpaceDE w:val="0"/>
              <w:autoSpaceDN w:val="0"/>
              <w:spacing w:after="0" w:line="240" w:lineRule="auto"/>
              <w:ind w:left="0"/>
              <w:rPr>
                <w:rFonts w:ascii="Times New Roman" w:hAnsi="Times New Roman" w:cs="Times New Roman"/>
                <w:sz w:val="18"/>
                <w:szCs w:val="18"/>
              </w:rPr>
            </w:pPr>
            <w:r w:rsidRPr="00E31FDF">
              <w:rPr>
                <w:rFonts w:ascii="Times New Roman" w:hAnsi="Times New Roman" w:cs="Times New Roman"/>
                <w:b/>
                <w:bCs/>
                <w:sz w:val="18"/>
                <w:szCs w:val="18"/>
              </w:rPr>
              <w:t>Cultivate safety and consistency</w:t>
            </w:r>
            <w:r w:rsidRPr="00E31FDF">
              <w:rPr>
                <w:rFonts w:ascii="Times New Roman" w:hAnsi="Times New Roman" w:cs="Times New Roman"/>
                <w:sz w:val="18"/>
                <w:szCs w:val="18"/>
              </w:rPr>
              <w:t>, implementing routines that support risk-taking, helping young people build personal connections and a sense of purpose for themselves, Use restorative practices to help young people to reflect on any mistake, solve conflicts, and get counseling when needed</w:t>
            </w:r>
          </w:p>
        </w:tc>
        <w:tc>
          <w:tcPr>
            <w:tcW w:w="1620" w:type="dxa"/>
            <w:tcBorders>
              <w:top w:val="single" w:sz="12" w:space="0" w:color="5A5B5D"/>
            </w:tcBorders>
            <w:vAlign w:val="center"/>
          </w:tcPr>
          <w:p w14:paraId="702A7C10" w14:textId="77777777" w:rsidR="00E31FDF" w:rsidRPr="00CC3527" w:rsidRDefault="00E31FDF" w:rsidP="00E31FDF">
            <w:pPr>
              <w:spacing w:after="0" w:line="240" w:lineRule="auto"/>
              <w:contextualSpacing/>
              <w:jc w:val="center"/>
              <w:rPr>
                <w:rFonts w:ascii="Arial Narrow" w:hAnsi="Arial Narrow" w:cs="Arial"/>
                <w:sz w:val="18"/>
                <w:szCs w:val="18"/>
              </w:rPr>
            </w:pPr>
          </w:p>
        </w:tc>
        <w:tc>
          <w:tcPr>
            <w:tcW w:w="1710" w:type="dxa"/>
            <w:tcBorders>
              <w:top w:val="single" w:sz="12" w:space="0" w:color="5A5B5D"/>
              <w:bottom w:val="single" w:sz="4" w:space="0" w:color="5A5B5D"/>
            </w:tcBorders>
            <w:vAlign w:val="center"/>
          </w:tcPr>
          <w:p w14:paraId="28E66EDF" w14:textId="77777777" w:rsidR="00E31FDF" w:rsidRPr="00CC3527" w:rsidRDefault="00E31FDF" w:rsidP="00E31FDF">
            <w:pPr>
              <w:spacing w:after="0" w:line="240" w:lineRule="auto"/>
              <w:contextualSpacing/>
              <w:jc w:val="center"/>
              <w:rPr>
                <w:rFonts w:ascii="Arial Narrow" w:hAnsi="Arial Narrow" w:cs="Arial"/>
                <w:sz w:val="18"/>
                <w:szCs w:val="18"/>
              </w:rPr>
            </w:pPr>
          </w:p>
        </w:tc>
      </w:tr>
      <w:tr w:rsidR="00E31FDF" w:rsidRPr="00A37798" w14:paraId="3945FFEF" w14:textId="77777777" w:rsidTr="00C25EF7">
        <w:trPr>
          <w:trHeight w:val="217"/>
        </w:trPr>
        <w:tc>
          <w:tcPr>
            <w:tcW w:w="630" w:type="dxa"/>
            <w:vMerge/>
            <w:shd w:val="clear" w:color="auto" w:fill="4EC2E2"/>
            <w:textDirection w:val="btLr"/>
            <w:vAlign w:val="center"/>
          </w:tcPr>
          <w:p w14:paraId="67D396CA"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tcBorders>
              <w:bottom w:val="single" w:sz="4" w:space="0" w:color="808080"/>
            </w:tcBorders>
            <w:vAlign w:val="center"/>
          </w:tcPr>
          <w:p w14:paraId="3B4CBB92" w14:textId="055BDC72"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Build community</w:t>
            </w:r>
            <w:r w:rsidRPr="00E31FDF">
              <w:rPr>
                <w:rFonts w:ascii="Times New Roman" w:hAnsi="Times New Roman" w:cs="Times New Roman"/>
                <w:sz w:val="18"/>
                <w:szCs w:val="18"/>
              </w:rPr>
              <w:t xml:space="preserve"> using positive behavior management practices, fostering positive peer to peer relationships, and co-developing program expectations with young people.</w:t>
            </w:r>
          </w:p>
        </w:tc>
        <w:tc>
          <w:tcPr>
            <w:tcW w:w="1620" w:type="dxa"/>
            <w:tcBorders>
              <w:bottom w:val="single" w:sz="4" w:space="0" w:color="808080"/>
            </w:tcBorders>
            <w:vAlign w:val="center"/>
          </w:tcPr>
          <w:p w14:paraId="09C49EA4"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bottom w:val="single" w:sz="4" w:space="0" w:color="808080"/>
            </w:tcBorders>
            <w:vAlign w:val="center"/>
          </w:tcPr>
          <w:p w14:paraId="5706C1CF"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6A0A270E" w14:textId="77777777" w:rsidTr="00C25EF7">
        <w:trPr>
          <w:trHeight w:val="730"/>
        </w:trPr>
        <w:tc>
          <w:tcPr>
            <w:tcW w:w="630" w:type="dxa"/>
            <w:vMerge/>
            <w:shd w:val="clear" w:color="auto" w:fill="4EC2E2"/>
            <w:textDirection w:val="btLr"/>
            <w:vAlign w:val="center"/>
          </w:tcPr>
          <w:p w14:paraId="2262867B"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tcBorders>
              <w:bottom w:val="single" w:sz="4" w:space="0" w:color="808080"/>
            </w:tcBorders>
            <w:vAlign w:val="center"/>
          </w:tcPr>
          <w:p w14:paraId="38CDD70E" w14:textId="0A1FCD4F"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Be culturally responsive and inclusive</w:t>
            </w:r>
            <w:r w:rsidRPr="00E31FDF">
              <w:rPr>
                <w:rFonts w:ascii="Times New Roman" w:hAnsi="Times New Roman" w:cs="Times New Roman"/>
                <w:sz w:val="18"/>
                <w:szCs w:val="18"/>
              </w:rPr>
              <w:t xml:space="preserve">, </w:t>
            </w:r>
            <w:r w:rsidRPr="00E31FDF">
              <w:rPr>
                <w:rFonts w:ascii="Times New Roman" w:hAnsi="Times New Roman" w:cs="Times New Roman"/>
                <w:bCs/>
                <w:sz w:val="18"/>
                <w:szCs w:val="18"/>
              </w:rPr>
              <w:t>using affirmations that establish the value of every young persons’ many identities and abilities, building on the diversity and cultural knowledge of young people and their families, and developing young people’s knowledge, skills, and agency to critically engage in civic affairs.</w:t>
            </w:r>
          </w:p>
        </w:tc>
        <w:tc>
          <w:tcPr>
            <w:tcW w:w="1620" w:type="dxa"/>
            <w:tcBorders>
              <w:bottom w:val="single" w:sz="4" w:space="0" w:color="808080"/>
            </w:tcBorders>
            <w:vAlign w:val="center"/>
          </w:tcPr>
          <w:p w14:paraId="4BBFFAAB"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bottom w:val="single" w:sz="4" w:space="0" w:color="808080"/>
            </w:tcBorders>
            <w:vAlign w:val="center"/>
          </w:tcPr>
          <w:p w14:paraId="1F005002"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362B249A" w14:textId="77777777" w:rsidTr="00C25EF7">
        <w:trPr>
          <w:trHeight w:val="407"/>
        </w:trPr>
        <w:tc>
          <w:tcPr>
            <w:tcW w:w="630" w:type="dxa"/>
            <w:vMerge w:val="restart"/>
            <w:shd w:val="clear" w:color="auto" w:fill="4EC2E2"/>
            <w:textDirection w:val="btLr"/>
            <w:vAlign w:val="center"/>
          </w:tcPr>
          <w:p w14:paraId="2289251F" w14:textId="77777777" w:rsidR="00E31FDF" w:rsidRPr="00031023" w:rsidRDefault="00E31FDF" w:rsidP="00E31FDF">
            <w:pPr>
              <w:spacing w:after="0" w:line="240" w:lineRule="auto"/>
              <w:contextualSpacing/>
              <w:jc w:val="center"/>
              <w:rPr>
                <w:rFonts w:ascii="Arial Narrow" w:hAnsi="Arial Narrow" w:cs="Arial"/>
                <w:b/>
                <w:caps/>
                <w:color w:val="FFFFFF"/>
                <w:sz w:val="14"/>
                <w:szCs w:val="14"/>
              </w:rPr>
            </w:pPr>
            <w:r w:rsidRPr="00031023">
              <w:rPr>
                <w:rFonts w:ascii="Arial Narrow" w:hAnsi="Arial Narrow" w:cs="Arial"/>
                <w:b/>
                <w:caps/>
                <w:color w:val="FFFFFF"/>
                <w:sz w:val="14"/>
                <w:szCs w:val="14"/>
              </w:rPr>
              <w:t>RICH INSTRUCTIONAL</w:t>
            </w:r>
          </w:p>
          <w:p w14:paraId="0261D25C" w14:textId="77777777" w:rsidR="00E31FDF" w:rsidRPr="00031023" w:rsidRDefault="00E31FDF" w:rsidP="00E31FDF">
            <w:pPr>
              <w:spacing w:after="0" w:line="240" w:lineRule="auto"/>
              <w:contextualSpacing/>
              <w:jc w:val="center"/>
              <w:rPr>
                <w:rFonts w:ascii="Arial Narrow" w:hAnsi="Arial Narrow" w:cs="Arial"/>
                <w:b/>
                <w:caps/>
                <w:color w:val="FFFFFF"/>
                <w:sz w:val="14"/>
                <w:szCs w:val="14"/>
              </w:rPr>
            </w:pPr>
            <w:r w:rsidRPr="00031023">
              <w:rPr>
                <w:rFonts w:ascii="Arial Narrow" w:hAnsi="Arial Narrow" w:cs="Arial"/>
                <w:b/>
                <w:caps/>
                <w:color w:val="FFFFFF"/>
                <w:sz w:val="14"/>
                <w:szCs w:val="14"/>
              </w:rPr>
              <w:t xml:space="preserve"> EXPERIENCES</w:t>
            </w:r>
          </w:p>
        </w:tc>
        <w:tc>
          <w:tcPr>
            <w:tcW w:w="7020" w:type="dxa"/>
            <w:tcBorders>
              <w:top w:val="single" w:sz="12" w:space="0" w:color="5A5B5D"/>
            </w:tcBorders>
            <w:shd w:val="clear" w:color="auto" w:fill="FFFFFF"/>
            <w:vAlign w:val="center"/>
          </w:tcPr>
          <w:p w14:paraId="7DCFBA75" w14:textId="692D91CC"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Use scaffolding and differentiation techniques</w:t>
            </w:r>
            <w:r w:rsidRPr="00E31FDF">
              <w:rPr>
                <w:rFonts w:ascii="Times New Roman" w:hAnsi="Times New Roman" w:cs="Times New Roman"/>
                <w:sz w:val="18"/>
                <w:szCs w:val="18"/>
              </w:rPr>
              <w:t xml:space="preserve"> to support individual learning styles, assessing and adjusting programming to fit the interests, strengths, and needs of young people while providing asset based personalized supports as well as fostering cooperative learning.</w:t>
            </w:r>
          </w:p>
        </w:tc>
        <w:tc>
          <w:tcPr>
            <w:tcW w:w="1620" w:type="dxa"/>
            <w:tcBorders>
              <w:top w:val="single" w:sz="12" w:space="0" w:color="5A5B5D"/>
            </w:tcBorders>
            <w:shd w:val="clear" w:color="auto" w:fill="FFFFFF"/>
            <w:vAlign w:val="center"/>
          </w:tcPr>
          <w:p w14:paraId="25310CB3"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top w:val="single" w:sz="12" w:space="0" w:color="5A5B5D"/>
            </w:tcBorders>
            <w:shd w:val="clear" w:color="auto" w:fill="FFFFFF"/>
            <w:vAlign w:val="center"/>
          </w:tcPr>
          <w:p w14:paraId="65C0F2B0"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26391835" w14:textId="77777777" w:rsidTr="00C25EF7">
        <w:trPr>
          <w:trHeight w:val="20"/>
        </w:trPr>
        <w:tc>
          <w:tcPr>
            <w:tcW w:w="630" w:type="dxa"/>
            <w:vMerge/>
            <w:shd w:val="clear" w:color="auto" w:fill="4EC2E2"/>
            <w:textDirection w:val="btLr"/>
            <w:vAlign w:val="center"/>
          </w:tcPr>
          <w:p w14:paraId="3027F98B"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vAlign w:val="center"/>
          </w:tcPr>
          <w:p w14:paraId="089D1BEC" w14:textId="553C81F9"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Facilitate inquiry-based approaches to learning</w:t>
            </w:r>
            <w:r w:rsidRPr="00E31FDF">
              <w:rPr>
                <w:rFonts w:ascii="Times New Roman" w:hAnsi="Times New Roman" w:cs="Times New Roman"/>
                <w:sz w:val="18"/>
                <w:szCs w:val="18"/>
              </w:rPr>
              <w:t xml:space="preserve"> to help youth be active learners, providing regular and thoughtful feedback and creating opportunities for young people to reflect and revise.</w:t>
            </w:r>
          </w:p>
        </w:tc>
        <w:tc>
          <w:tcPr>
            <w:tcW w:w="1620" w:type="dxa"/>
            <w:vAlign w:val="center"/>
          </w:tcPr>
          <w:p w14:paraId="0E44D8B8"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vAlign w:val="center"/>
          </w:tcPr>
          <w:p w14:paraId="023AD63A"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06B8B1B6" w14:textId="77777777" w:rsidTr="00C25EF7">
        <w:trPr>
          <w:trHeight w:val="20"/>
        </w:trPr>
        <w:tc>
          <w:tcPr>
            <w:tcW w:w="630" w:type="dxa"/>
            <w:vMerge/>
            <w:shd w:val="clear" w:color="auto" w:fill="4EC2E2"/>
            <w:textDirection w:val="btLr"/>
            <w:vAlign w:val="center"/>
          </w:tcPr>
          <w:p w14:paraId="77627861" w14:textId="77777777" w:rsidR="00E31FDF" w:rsidRPr="004A7416" w:rsidRDefault="00E31FDF" w:rsidP="00E31FDF">
            <w:pPr>
              <w:spacing w:after="0" w:line="240" w:lineRule="auto"/>
              <w:contextualSpacing/>
              <w:jc w:val="center"/>
              <w:rPr>
                <w:rFonts w:ascii="Arial Narrow" w:hAnsi="Arial Narrow" w:cs="Arial"/>
                <w:b/>
                <w:caps/>
                <w:color w:val="FFFFFF"/>
                <w:sz w:val="16"/>
                <w:szCs w:val="18"/>
              </w:rPr>
            </w:pPr>
          </w:p>
        </w:tc>
        <w:tc>
          <w:tcPr>
            <w:tcW w:w="7020" w:type="dxa"/>
            <w:vAlign w:val="center"/>
          </w:tcPr>
          <w:p w14:paraId="17B10AE4" w14:textId="1FA9F88F"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Adopt a culturally responsive approach to learning</w:t>
            </w:r>
            <w:r w:rsidRPr="00E31FDF">
              <w:rPr>
                <w:rFonts w:ascii="Times New Roman" w:hAnsi="Times New Roman" w:cs="Times New Roman"/>
                <w:sz w:val="18"/>
                <w:szCs w:val="18"/>
              </w:rPr>
              <w:t xml:space="preserve"> by explicitly connect</w:t>
            </w:r>
            <w:r w:rsidR="000F1C82">
              <w:rPr>
                <w:rFonts w:ascii="Times New Roman" w:hAnsi="Times New Roman" w:cs="Times New Roman"/>
                <w:sz w:val="18"/>
                <w:szCs w:val="18"/>
              </w:rPr>
              <w:t>ing</w:t>
            </w:r>
            <w:r w:rsidRPr="00E31FDF">
              <w:rPr>
                <w:rFonts w:ascii="Times New Roman" w:hAnsi="Times New Roman" w:cs="Times New Roman"/>
                <w:sz w:val="18"/>
                <w:szCs w:val="18"/>
              </w:rPr>
              <w:t xml:space="preserve"> students’ diverse experiences and cultural assets with program content, promote racial-ethnic identity development, voice, and agency, and facilitating conversations around equity and social justice.</w:t>
            </w:r>
          </w:p>
        </w:tc>
        <w:tc>
          <w:tcPr>
            <w:tcW w:w="1620" w:type="dxa"/>
            <w:vAlign w:val="center"/>
          </w:tcPr>
          <w:p w14:paraId="7DFB84CC"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vAlign w:val="center"/>
          </w:tcPr>
          <w:p w14:paraId="35227A40"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02AC4585" w14:textId="77777777" w:rsidTr="00C25EF7">
        <w:trPr>
          <w:trHeight w:val="407"/>
        </w:trPr>
        <w:tc>
          <w:tcPr>
            <w:tcW w:w="630" w:type="dxa"/>
            <w:vMerge w:val="restart"/>
            <w:shd w:val="clear" w:color="auto" w:fill="4EC2E2"/>
            <w:textDirection w:val="btLr"/>
            <w:vAlign w:val="center"/>
          </w:tcPr>
          <w:p w14:paraId="62077F04" w14:textId="14CE3B8F" w:rsidR="00E31FDF" w:rsidRPr="00031023" w:rsidRDefault="00E31FDF" w:rsidP="00E31FDF">
            <w:pPr>
              <w:spacing w:after="0" w:line="240" w:lineRule="auto"/>
              <w:contextualSpacing/>
              <w:jc w:val="center"/>
              <w:rPr>
                <w:rFonts w:ascii="Arial Narrow" w:hAnsi="Arial Narrow" w:cs="Arial"/>
                <w:b/>
                <w:caps/>
                <w:color w:val="FFFFFF"/>
                <w:sz w:val="14"/>
                <w:szCs w:val="14"/>
              </w:rPr>
            </w:pPr>
            <w:r>
              <w:rPr>
                <w:rFonts w:ascii="Arial Narrow" w:hAnsi="Arial Narrow" w:cs="Arial"/>
                <w:b/>
                <w:caps/>
                <w:color w:val="FFFFFF"/>
                <w:sz w:val="14"/>
                <w:szCs w:val="14"/>
              </w:rPr>
              <w:t>Development of skills, mindsets and habits</w:t>
            </w:r>
          </w:p>
        </w:tc>
        <w:tc>
          <w:tcPr>
            <w:tcW w:w="7020" w:type="dxa"/>
            <w:tcBorders>
              <w:top w:val="single" w:sz="12" w:space="0" w:color="5A5B5D"/>
            </w:tcBorders>
            <w:shd w:val="clear" w:color="auto" w:fill="FFFFFF"/>
          </w:tcPr>
          <w:p w14:paraId="54A09D1C" w14:textId="56B14D81" w:rsidR="00E31FDF" w:rsidRPr="00E31FDF" w:rsidRDefault="00E31FDF" w:rsidP="00E31FDF">
            <w:pPr>
              <w:spacing w:after="0" w:line="240" w:lineRule="auto"/>
              <w:contextualSpacing/>
              <w:rPr>
                <w:rFonts w:ascii="Times New Roman" w:hAnsi="Times New Roman" w:cs="Times New Roman"/>
                <w:b/>
                <w:color w:val="000000" w:themeColor="text1"/>
                <w:sz w:val="18"/>
                <w:szCs w:val="18"/>
              </w:rPr>
            </w:pPr>
            <w:r w:rsidRPr="00E31FDF">
              <w:rPr>
                <w:rFonts w:ascii="Times New Roman" w:hAnsi="Times New Roman" w:cs="Times New Roman"/>
                <w:b/>
                <w:bCs/>
                <w:color w:val="000000" w:themeColor="text1"/>
                <w:sz w:val="18"/>
                <w:szCs w:val="18"/>
              </w:rPr>
              <w:t>Integrate social and emotional learning</w:t>
            </w:r>
            <w:r w:rsidRPr="00E31FDF">
              <w:rPr>
                <w:rFonts w:ascii="Times New Roman" w:hAnsi="Times New Roman" w:cs="Times New Roman"/>
                <w:color w:val="000000" w:themeColor="text1"/>
                <w:sz w:val="18"/>
                <w:szCs w:val="18"/>
              </w:rPr>
              <w:t xml:space="preserve"> in a culturally responsive context, fostering awareness and understanding of young peoples’ emotions, providing them with strategies that supports them to both express and manage emotions, and doing so in a way that ensures cultural sensitivity and responsiveness.</w:t>
            </w:r>
          </w:p>
        </w:tc>
        <w:tc>
          <w:tcPr>
            <w:tcW w:w="1620" w:type="dxa"/>
            <w:tcBorders>
              <w:top w:val="single" w:sz="12" w:space="0" w:color="5A5B5D"/>
            </w:tcBorders>
            <w:shd w:val="clear" w:color="auto" w:fill="FFFFFF"/>
            <w:vAlign w:val="center"/>
          </w:tcPr>
          <w:p w14:paraId="30B82127"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top w:val="single" w:sz="12" w:space="0" w:color="5A5B5D"/>
            </w:tcBorders>
            <w:shd w:val="clear" w:color="auto" w:fill="FFFFFF"/>
            <w:vAlign w:val="center"/>
          </w:tcPr>
          <w:p w14:paraId="22DC90D0"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62623DA1" w14:textId="77777777" w:rsidTr="00C25EF7">
        <w:trPr>
          <w:trHeight w:val="407"/>
        </w:trPr>
        <w:tc>
          <w:tcPr>
            <w:tcW w:w="630" w:type="dxa"/>
            <w:vMerge/>
            <w:shd w:val="clear" w:color="auto" w:fill="4EC2E2"/>
            <w:textDirection w:val="btLr"/>
            <w:vAlign w:val="center"/>
          </w:tcPr>
          <w:p w14:paraId="25F3BD82" w14:textId="77777777" w:rsidR="00E31FDF" w:rsidRPr="00031023" w:rsidRDefault="00E31FDF" w:rsidP="00E31FDF">
            <w:pPr>
              <w:spacing w:after="0" w:line="240" w:lineRule="auto"/>
              <w:contextualSpacing/>
              <w:jc w:val="center"/>
              <w:rPr>
                <w:rFonts w:ascii="Arial Narrow" w:hAnsi="Arial Narrow" w:cs="Arial"/>
                <w:b/>
                <w:caps/>
                <w:color w:val="FFFFFF"/>
                <w:sz w:val="14"/>
                <w:szCs w:val="14"/>
              </w:rPr>
            </w:pPr>
          </w:p>
        </w:tc>
        <w:tc>
          <w:tcPr>
            <w:tcW w:w="7020" w:type="dxa"/>
            <w:tcBorders>
              <w:top w:val="single" w:sz="4" w:space="0" w:color="5A5B5D"/>
            </w:tcBorders>
            <w:shd w:val="clear" w:color="auto" w:fill="FFFFFF"/>
          </w:tcPr>
          <w:p w14:paraId="12B9F4EE" w14:textId="6952C109" w:rsidR="00E31FDF" w:rsidRPr="00E31FDF" w:rsidRDefault="00E31FDF" w:rsidP="00E31FDF">
            <w:pPr>
              <w:spacing w:after="0" w:line="240" w:lineRule="auto"/>
              <w:contextualSpacing/>
              <w:rPr>
                <w:rFonts w:ascii="Times New Roman" w:hAnsi="Times New Roman" w:cs="Times New Roman"/>
                <w:b/>
                <w:color w:val="000000" w:themeColor="text1"/>
                <w:sz w:val="18"/>
                <w:szCs w:val="18"/>
              </w:rPr>
            </w:pPr>
            <w:r w:rsidRPr="00E31FDF">
              <w:rPr>
                <w:rFonts w:ascii="Times New Roman" w:hAnsi="Times New Roman" w:cs="Times New Roman"/>
                <w:b/>
                <w:bCs/>
                <w:color w:val="000000" w:themeColor="text1"/>
                <w:sz w:val="18"/>
                <w:szCs w:val="18"/>
              </w:rPr>
              <w:t>Develop productive mindsets and habits</w:t>
            </w:r>
            <w:r w:rsidRPr="00E31FDF">
              <w:rPr>
                <w:rFonts w:ascii="Times New Roman" w:hAnsi="Times New Roman" w:cs="Times New Roman"/>
                <w:color w:val="000000" w:themeColor="text1"/>
                <w:sz w:val="18"/>
                <w:szCs w:val="18"/>
              </w:rPr>
              <w:t xml:space="preserve"> by nurturing growth mindset, providing opportunities for planning and goal setting, and supporting interpersonal skills like empathy, collaboration and problem solving.</w:t>
            </w:r>
          </w:p>
        </w:tc>
        <w:tc>
          <w:tcPr>
            <w:tcW w:w="1620" w:type="dxa"/>
            <w:tcBorders>
              <w:top w:val="single" w:sz="4" w:space="0" w:color="5A5B5D"/>
            </w:tcBorders>
            <w:shd w:val="clear" w:color="auto" w:fill="FFFFFF"/>
            <w:vAlign w:val="center"/>
          </w:tcPr>
          <w:p w14:paraId="02F60AA2"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top w:val="single" w:sz="4" w:space="0" w:color="5A5B5D"/>
            </w:tcBorders>
            <w:shd w:val="clear" w:color="auto" w:fill="FFFFFF"/>
            <w:vAlign w:val="center"/>
          </w:tcPr>
          <w:p w14:paraId="340296DC"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3D40DB3D" w14:textId="77777777" w:rsidTr="00C25EF7">
        <w:trPr>
          <w:trHeight w:val="407"/>
        </w:trPr>
        <w:tc>
          <w:tcPr>
            <w:tcW w:w="630" w:type="dxa"/>
            <w:vMerge/>
            <w:shd w:val="clear" w:color="auto" w:fill="4EC2E2"/>
            <w:textDirection w:val="btLr"/>
            <w:vAlign w:val="center"/>
          </w:tcPr>
          <w:p w14:paraId="6DE333CF" w14:textId="77777777" w:rsidR="00E31FDF" w:rsidRPr="00031023" w:rsidRDefault="00E31FDF" w:rsidP="00E31FDF">
            <w:pPr>
              <w:spacing w:after="0" w:line="240" w:lineRule="auto"/>
              <w:contextualSpacing/>
              <w:jc w:val="center"/>
              <w:rPr>
                <w:rFonts w:ascii="Arial Narrow" w:hAnsi="Arial Narrow" w:cs="Arial"/>
                <w:b/>
                <w:caps/>
                <w:color w:val="FFFFFF"/>
                <w:sz w:val="14"/>
                <w:szCs w:val="14"/>
              </w:rPr>
            </w:pPr>
          </w:p>
        </w:tc>
        <w:tc>
          <w:tcPr>
            <w:tcW w:w="7020" w:type="dxa"/>
            <w:tcBorders>
              <w:top w:val="single" w:sz="4" w:space="0" w:color="5A5B5D"/>
              <w:bottom w:val="single" w:sz="12" w:space="0" w:color="5A5B5D"/>
            </w:tcBorders>
            <w:shd w:val="clear" w:color="auto" w:fill="FFFFFF"/>
          </w:tcPr>
          <w:p w14:paraId="404782BC" w14:textId="5932DAF0" w:rsidR="00E31FDF" w:rsidRPr="00E31FDF" w:rsidRDefault="00E31FDF" w:rsidP="00E31FDF">
            <w:pPr>
              <w:spacing w:after="0" w:line="240" w:lineRule="auto"/>
              <w:contextualSpacing/>
              <w:rPr>
                <w:rFonts w:ascii="Times New Roman" w:hAnsi="Times New Roman" w:cs="Times New Roman"/>
                <w:b/>
                <w:color w:val="000000" w:themeColor="text1"/>
                <w:sz w:val="18"/>
                <w:szCs w:val="18"/>
              </w:rPr>
            </w:pPr>
            <w:r w:rsidRPr="00E31FDF">
              <w:rPr>
                <w:rFonts w:ascii="Times New Roman" w:hAnsi="Times New Roman" w:cs="Times New Roman"/>
                <w:b/>
                <w:color w:val="000000" w:themeColor="text1"/>
                <w:sz w:val="18"/>
                <w:szCs w:val="18"/>
              </w:rPr>
              <w:t xml:space="preserve">Incorporate healing-centered practices, </w:t>
            </w:r>
            <w:r w:rsidRPr="00E31FDF">
              <w:rPr>
                <w:rFonts w:ascii="Times New Roman" w:hAnsi="Times New Roman" w:cs="Times New Roman"/>
                <w:bCs/>
                <w:color w:val="000000" w:themeColor="text1"/>
                <w:sz w:val="18"/>
                <w:szCs w:val="18"/>
              </w:rPr>
              <w:t>employing responsive strategies based on the principles of safety, trust, collaboration, choice, and empowerment and promoting physical and mental wellbeing through mindfulness strategies, breathing exercises, and other stress.</w:t>
            </w:r>
          </w:p>
        </w:tc>
        <w:tc>
          <w:tcPr>
            <w:tcW w:w="1620" w:type="dxa"/>
            <w:tcBorders>
              <w:top w:val="single" w:sz="4" w:space="0" w:color="5A5B5D"/>
              <w:bottom w:val="single" w:sz="12" w:space="0" w:color="5A5B5D"/>
            </w:tcBorders>
            <w:shd w:val="clear" w:color="auto" w:fill="FFFFFF"/>
            <w:vAlign w:val="center"/>
          </w:tcPr>
          <w:p w14:paraId="126F4DED"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top w:val="single" w:sz="4" w:space="0" w:color="5A5B5D"/>
              <w:bottom w:val="single" w:sz="12" w:space="0" w:color="5A5B5D"/>
            </w:tcBorders>
            <w:shd w:val="clear" w:color="auto" w:fill="FFFFFF"/>
            <w:vAlign w:val="center"/>
          </w:tcPr>
          <w:p w14:paraId="530D3897"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3FE5F105" w14:textId="77777777" w:rsidTr="00C25EF7">
        <w:trPr>
          <w:trHeight w:val="407"/>
        </w:trPr>
        <w:tc>
          <w:tcPr>
            <w:tcW w:w="630" w:type="dxa"/>
            <w:vMerge w:val="restart"/>
            <w:shd w:val="clear" w:color="auto" w:fill="4EC2E2"/>
            <w:textDirection w:val="btLr"/>
            <w:vAlign w:val="center"/>
          </w:tcPr>
          <w:p w14:paraId="7C277997" w14:textId="67043573" w:rsidR="00E31FDF" w:rsidRPr="00031023" w:rsidRDefault="00E31FDF" w:rsidP="00E31FDF">
            <w:pPr>
              <w:spacing w:after="0" w:line="240" w:lineRule="auto"/>
              <w:contextualSpacing/>
              <w:jc w:val="center"/>
              <w:rPr>
                <w:rFonts w:ascii="Arial Narrow" w:hAnsi="Arial Narrow" w:cs="Arial"/>
                <w:b/>
                <w:caps/>
                <w:color w:val="FFFFFF"/>
                <w:sz w:val="14"/>
                <w:szCs w:val="14"/>
              </w:rPr>
            </w:pPr>
            <w:r>
              <w:rPr>
                <w:rFonts w:ascii="Arial Narrow" w:hAnsi="Arial Narrow" w:cs="Arial"/>
                <w:b/>
                <w:caps/>
                <w:color w:val="FFFFFF"/>
                <w:sz w:val="14"/>
                <w:szCs w:val="14"/>
              </w:rPr>
              <w:t>INTEgrated Support Systems</w:t>
            </w:r>
          </w:p>
        </w:tc>
        <w:tc>
          <w:tcPr>
            <w:tcW w:w="7020" w:type="dxa"/>
            <w:tcBorders>
              <w:top w:val="single" w:sz="12" w:space="0" w:color="5A5B5D"/>
            </w:tcBorders>
            <w:shd w:val="clear" w:color="auto" w:fill="FFFFFF"/>
            <w:vAlign w:val="center"/>
          </w:tcPr>
          <w:p w14:paraId="11708C2C" w14:textId="3B3F8875" w:rsidR="00E31FDF" w:rsidRPr="00E31FDF" w:rsidRDefault="00E31FDF" w:rsidP="00E31FDF">
            <w:pPr>
              <w:spacing w:after="0" w:line="240" w:lineRule="auto"/>
              <w:contextualSpacing/>
              <w:rPr>
                <w:rFonts w:ascii="Times New Roman" w:hAnsi="Times New Roman" w:cs="Times New Roman"/>
                <w:color w:val="000000" w:themeColor="text1"/>
                <w:sz w:val="18"/>
                <w:szCs w:val="18"/>
              </w:rPr>
            </w:pPr>
            <w:r w:rsidRPr="00E31FDF">
              <w:rPr>
                <w:rFonts w:ascii="Times New Roman" w:hAnsi="Times New Roman" w:cs="Times New Roman"/>
                <w:b/>
                <w:bCs/>
                <w:color w:val="000000" w:themeColor="text1"/>
                <w:sz w:val="18"/>
                <w:szCs w:val="18"/>
              </w:rPr>
              <w:t>Connect youth to supplemental learning opportunities</w:t>
            </w:r>
            <w:r w:rsidRPr="00E31FDF">
              <w:rPr>
                <w:rFonts w:ascii="Times New Roman" w:hAnsi="Times New Roman" w:cs="Times New Roman"/>
                <w:color w:val="000000" w:themeColor="text1"/>
                <w:sz w:val="18"/>
                <w:szCs w:val="18"/>
              </w:rPr>
              <w:t xml:space="preserve"> by partner</w:t>
            </w:r>
            <w:r w:rsidRPr="00E31FDF">
              <w:rPr>
                <w:rFonts w:ascii="Times New Roman" w:hAnsi="Times New Roman" w:cs="Times New Roman"/>
                <w:sz w:val="18"/>
                <w:szCs w:val="18"/>
              </w:rPr>
              <w:t xml:space="preserve">ing </w:t>
            </w:r>
            <w:r w:rsidRPr="00E31FDF">
              <w:rPr>
                <w:rFonts w:ascii="Times New Roman" w:hAnsi="Times New Roman" w:cs="Times New Roman"/>
                <w:color w:val="000000" w:themeColor="text1"/>
                <w:sz w:val="18"/>
                <w:szCs w:val="18"/>
              </w:rPr>
              <w:t>with schools to provide seamless and aligned supports, monitoring young people’s academic growth, and adding adult capacity to the school day.</w:t>
            </w:r>
          </w:p>
        </w:tc>
        <w:tc>
          <w:tcPr>
            <w:tcW w:w="1620" w:type="dxa"/>
            <w:tcBorders>
              <w:top w:val="single" w:sz="12" w:space="0" w:color="5A5B5D"/>
            </w:tcBorders>
            <w:shd w:val="clear" w:color="auto" w:fill="FFFFFF"/>
            <w:vAlign w:val="center"/>
          </w:tcPr>
          <w:p w14:paraId="25BE2045"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tcBorders>
              <w:top w:val="single" w:sz="12" w:space="0" w:color="5A5B5D"/>
            </w:tcBorders>
            <w:shd w:val="clear" w:color="auto" w:fill="FFFFFF"/>
            <w:vAlign w:val="center"/>
          </w:tcPr>
          <w:p w14:paraId="09E8B7F5"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r w:rsidR="00E31FDF" w:rsidRPr="00A37798" w14:paraId="0A1C655D" w14:textId="77777777" w:rsidTr="00C25EF7">
        <w:trPr>
          <w:trHeight w:val="407"/>
        </w:trPr>
        <w:tc>
          <w:tcPr>
            <w:tcW w:w="630" w:type="dxa"/>
            <w:vMerge/>
            <w:shd w:val="clear" w:color="auto" w:fill="4EC2E2"/>
            <w:textDirection w:val="btLr"/>
            <w:vAlign w:val="center"/>
          </w:tcPr>
          <w:p w14:paraId="735C1D70" w14:textId="77777777" w:rsidR="00E31FDF" w:rsidRPr="00A37798" w:rsidRDefault="00E31FDF" w:rsidP="00E31FDF">
            <w:pPr>
              <w:spacing w:after="0" w:line="240" w:lineRule="auto"/>
              <w:ind w:left="113" w:right="113" w:hanging="144"/>
              <w:contextualSpacing/>
              <w:jc w:val="center"/>
              <w:rPr>
                <w:rFonts w:ascii="Arial Narrow" w:hAnsi="Arial Narrow" w:cs="Arial"/>
                <w:b/>
                <w:caps/>
                <w:color w:val="FFFFFF"/>
                <w:sz w:val="18"/>
                <w:szCs w:val="18"/>
              </w:rPr>
            </w:pPr>
          </w:p>
        </w:tc>
        <w:tc>
          <w:tcPr>
            <w:tcW w:w="7020" w:type="dxa"/>
            <w:vAlign w:val="center"/>
          </w:tcPr>
          <w:p w14:paraId="2FE23C9D" w14:textId="5A670CBF" w:rsidR="00E31FDF" w:rsidRPr="00E31FDF" w:rsidRDefault="00E31FDF" w:rsidP="00E31FDF">
            <w:pPr>
              <w:spacing w:after="0" w:line="240" w:lineRule="auto"/>
              <w:contextualSpacing/>
              <w:rPr>
                <w:rFonts w:ascii="Times New Roman" w:hAnsi="Times New Roman" w:cs="Times New Roman"/>
                <w:sz w:val="18"/>
                <w:szCs w:val="18"/>
              </w:rPr>
            </w:pPr>
            <w:r w:rsidRPr="00E31FDF">
              <w:rPr>
                <w:rFonts w:ascii="Times New Roman" w:hAnsi="Times New Roman" w:cs="Times New Roman"/>
                <w:b/>
                <w:bCs/>
                <w:sz w:val="18"/>
                <w:szCs w:val="18"/>
              </w:rPr>
              <w:t xml:space="preserve">Promote access to other supports and opportunities that foster health and well-being </w:t>
            </w:r>
            <w:r w:rsidRPr="00E31FDF">
              <w:rPr>
                <w:rFonts w:ascii="Times New Roman" w:hAnsi="Times New Roman" w:cs="Times New Roman"/>
                <w:sz w:val="18"/>
                <w:szCs w:val="18"/>
              </w:rPr>
              <w:t>by ensuring mechanisms and partnerships are in place to connect families and youth to basic needs such as food, health, and mental health in addition to academic supports and participating in whole-school comprehensive community partnership models.</w:t>
            </w:r>
          </w:p>
        </w:tc>
        <w:tc>
          <w:tcPr>
            <w:tcW w:w="1620" w:type="dxa"/>
            <w:vAlign w:val="center"/>
          </w:tcPr>
          <w:p w14:paraId="153C0E4E"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c>
          <w:tcPr>
            <w:tcW w:w="1710" w:type="dxa"/>
            <w:vAlign w:val="center"/>
          </w:tcPr>
          <w:p w14:paraId="3BFD93D0" w14:textId="77777777" w:rsidR="00E31FDF" w:rsidRPr="00CC3527" w:rsidRDefault="00E31FDF" w:rsidP="00E31FDF">
            <w:pPr>
              <w:spacing w:after="0" w:line="240" w:lineRule="auto"/>
              <w:ind w:left="144" w:hanging="144"/>
              <w:contextualSpacing/>
              <w:jc w:val="center"/>
              <w:rPr>
                <w:rFonts w:ascii="Arial Narrow" w:hAnsi="Arial Narrow" w:cs="Arial"/>
                <w:sz w:val="18"/>
                <w:szCs w:val="18"/>
              </w:rPr>
            </w:pPr>
          </w:p>
        </w:tc>
      </w:tr>
    </w:tbl>
    <w:p w14:paraId="656E689A" w14:textId="77777777" w:rsidR="00655781" w:rsidRDefault="00655781" w:rsidP="008138CD">
      <w:pPr>
        <w:spacing w:after="0" w:line="240" w:lineRule="auto"/>
        <w:rPr>
          <w:rFonts w:ascii="Calibri" w:eastAsia="Times New Roman" w:hAnsi="Calibri" w:cs="Calibri"/>
          <w:i/>
          <w:iCs/>
          <w:sz w:val="24"/>
          <w:szCs w:val="32"/>
        </w:rPr>
      </w:pPr>
    </w:p>
    <w:sectPr w:rsidR="00655781" w:rsidSect="00C25EF7">
      <w:footerReference w:type="default" r:id="rId11"/>
      <w:pgSz w:w="12240" w:h="15840" w:code="1"/>
      <w:pgMar w:top="288" w:right="720" w:bottom="720" w:left="720"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DC462" w14:textId="77777777" w:rsidR="007A22D4" w:rsidRDefault="007A22D4" w:rsidP="004D626A">
      <w:pPr>
        <w:spacing w:after="0" w:line="240" w:lineRule="auto"/>
      </w:pPr>
      <w:r>
        <w:separator/>
      </w:r>
    </w:p>
  </w:endnote>
  <w:endnote w:type="continuationSeparator" w:id="0">
    <w:p w14:paraId="5024242D" w14:textId="77777777" w:rsidR="007A22D4" w:rsidRDefault="007A22D4" w:rsidP="004D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C4CD" w14:textId="177DC8F1" w:rsidR="00C87F40" w:rsidRPr="00CC30D4" w:rsidRDefault="007D3F7B" w:rsidP="007D3F7B">
    <w:pPr>
      <w:pStyle w:val="Footer"/>
      <w:tabs>
        <w:tab w:val="center" w:pos="10710"/>
      </w:tabs>
    </w:pPr>
    <w:r>
      <w:tab/>
    </w:r>
    <w:r w:rsidR="00C9372D" w:rsidRPr="00B32DFB">
      <w:rPr>
        <w:noProof/>
      </w:rPr>
      <w:drawing>
        <wp:anchor distT="0" distB="0" distL="114300" distR="114300" simplePos="0" relativeHeight="251704320" behindDoc="0" locked="0" layoutInCell="1" allowOverlap="1" wp14:anchorId="74D7F82F" wp14:editId="1C5918A4">
          <wp:simplePos x="0" y="0"/>
          <wp:positionH relativeFrom="column">
            <wp:posOffset>8608344</wp:posOffset>
          </wp:positionH>
          <wp:positionV relativeFrom="paragraph">
            <wp:posOffset>6674</wp:posOffset>
          </wp:positionV>
          <wp:extent cx="609600" cy="271780"/>
          <wp:effectExtent l="0" t="0" r="0" b="0"/>
          <wp:wrapNone/>
          <wp:docPr id="16" name="Picture 16" descr="C:\Users\Laura\Desktop\Forum_pri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Desktop\Forum_print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7D3F7B">
      <w:rPr>
        <w:noProof/>
      </w:rPr>
      <w:drawing>
        <wp:inline distT="0" distB="0" distL="0" distR="0" wp14:anchorId="2112FEE8" wp14:editId="70C9CE04">
          <wp:extent cx="607695" cy="272415"/>
          <wp:effectExtent l="0" t="0" r="1905" b="0"/>
          <wp:docPr id="17" name="Picture 17" descr="C:\Users\Laura\Desktop\Forum_prin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Forum_prin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 cy="2724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1AAA7" w14:textId="77777777" w:rsidR="007A22D4" w:rsidRDefault="007A22D4" w:rsidP="004D626A">
      <w:pPr>
        <w:spacing w:after="0" w:line="240" w:lineRule="auto"/>
      </w:pPr>
      <w:r>
        <w:separator/>
      </w:r>
    </w:p>
  </w:footnote>
  <w:footnote w:type="continuationSeparator" w:id="0">
    <w:p w14:paraId="202BF646" w14:textId="77777777" w:rsidR="007A22D4" w:rsidRDefault="007A22D4" w:rsidP="004D626A">
      <w:pPr>
        <w:spacing w:after="0" w:line="240" w:lineRule="auto"/>
      </w:pPr>
      <w:r>
        <w:continuationSeparator/>
      </w:r>
    </w:p>
  </w:footnote>
  <w:footnote w:id="1">
    <w:p w14:paraId="08F15117" w14:textId="77777777" w:rsidR="000A47E0" w:rsidRPr="000045AA" w:rsidRDefault="000A47E0" w:rsidP="000045AA">
      <w:pPr>
        <w:pStyle w:val="FootnoteText"/>
        <w:spacing w:after="120"/>
        <w:rPr>
          <w:i/>
        </w:rPr>
      </w:pPr>
      <w:r w:rsidRPr="000045AA">
        <w:rPr>
          <w:rStyle w:val="FootnoteReference"/>
          <w:color w:val="808080" w:themeColor="background1" w:themeShade="80"/>
        </w:rPr>
        <w:footnoteRef/>
      </w:r>
      <w:r w:rsidRPr="000045AA">
        <w:rPr>
          <w:color w:val="808080" w:themeColor="background1" w:themeShade="80"/>
        </w:rPr>
        <w:t xml:space="preserve"> </w:t>
      </w:r>
      <w:r w:rsidR="000045AA" w:rsidRPr="000045AA">
        <w:rPr>
          <w:rFonts w:ascii="Franklin Gothic Book" w:hAnsi="Franklin Gothic Book"/>
          <w:color w:val="808080" w:themeColor="background1" w:themeShade="80"/>
          <w:sz w:val="16"/>
          <w:szCs w:val="16"/>
        </w:rPr>
        <w:t xml:space="preserve">Stephanie Malia Krauss, Karen Pittman, and Caitlin Johnson; The Forum for Youth Investment (2016) </w:t>
      </w:r>
      <w:r w:rsidR="000045AA" w:rsidRPr="000045AA">
        <w:rPr>
          <w:rFonts w:ascii="Franklin Gothic Book" w:hAnsi="Franklin Gothic Book"/>
          <w:i/>
          <w:color w:val="808080" w:themeColor="background1" w:themeShade="80"/>
          <w:sz w:val="16"/>
          <w:szCs w:val="16"/>
        </w:rPr>
        <w:t>Ready by Design: The Science (and Art) of Youth Readiness.</w:t>
      </w:r>
      <w:r w:rsidR="000045AA" w:rsidRPr="000045AA">
        <w:rPr>
          <w:i/>
          <w:color w:val="808080" w:themeColor="background1" w:themeShade="80"/>
        </w:rPr>
        <w:t xml:space="preserve"> </w:t>
      </w:r>
    </w:p>
  </w:footnote>
  <w:footnote w:id="2">
    <w:p w14:paraId="2CC0868B" w14:textId="77777777" w:rsidR="003F63EB" w:rsidRPr="003F63EB" w:rsidRDefault="003F63EB" w:rsidP="00734822">
      <w:pPr>
        <w:pStyle w:val="FootnoteText"/>
        <w:spacing w:after="120"/>
        <w:rPr>
          <w:rFonts w:ascii="Franklin Gothic Book" w:hAnsi="Franklin Gothic Book"/>
          <w:color w:val="808080" w:themeColor="background1" w:themeShade="80"/>
          <w:sz w:val="16"/>
          <w:szCs w:val="16"/>
        </w:rPr>
      </w:pPr>
      <w:r w:rsidRPr="003F63EB">
        <w:rPr>
          <w:rStyle w:val="FootnoteReference"/>
          <w:rFonts w:ascii="Franklin Gothic Book" w:hAnsi="Franklin Gothic Book"/>
          <w:color w:val="808080" w:themeColor="background1" w:themeShade="80"/>
          <w:sz w:val="16"/>
          <w:szCs w:val="16"/>
        </w:rPr>
        <w:footnoteRef/>
      </w:r>
      <w:r w:rsidRPr="003F63EB">
        <w:rPr>
          <w:rFonts w:ascii="Franklin Gothic Book" w:hAnsi="Franklin Gothic Book"/>
          <w:color w:val="808080" w:themeColor="background1" w:themeShade="80"/>
          <w:sz w:val="16"/>
          <w:szCs w:val="16"/>
        </w:rPr>
        <w:t xml:space="preserve"> L</w:t>
      </w:r>
      <w:r w:rsidRPr="003F63EB">
        <w:rPr>
          <w:rFonts w:ascii="Franklin Gothic Book" w:eastAsia="Times New Roman" w:hAnsi="Franklin Gothic Book" w:cs="Arial"/>
          <w:color w:val="808080" w:themeColor="background1" w:themeShade="80"/>
          <w:sz w:val="16"/>
          <w:szCs w:val="16"/>
        </w:rPr>
        <w:t xml:space="preserve">inda Darling-Hammond, Lisa Flook, Channa Cook-Harvey, Brigid Barron &amp; David Osher (2019)  </w:t>
      </w:r>
      <w:r w:rsidRPr="000045AA">
        <w:rPr>
          <w:rFonts w:ascii="Franklin Gothic Book" w:eastAsia="Times New Roman" w:hAnsi="Franklin Gothic Book" w:cs="Arial"/>
          <w:i/>
          <w:color w:val="808080" w:themeColor="background1" w:themeShade="80"/>
          <w:sz w:val="16"/>
          <w:szCs w:val="16"/>
        </w:rPr>
        <w:t>Implications for educational practice of the science of learning and development</w:t>
      </w:r>
      <w:r w:rsidRPr="003F63EB">
        <w:rPr>
          <w:rFonts w:ascii="Franklin Gothic Book" w:eastAsia="Times New Roman" w:hAnsi="Franklin Gothic Book" w:cs="Arial"/>
          <w:color w:val="808080" w:themeColor="background1" w:themeShade="80"/>
          <w:sz w:val="16"/>
          <w:szCs w:val="16"/>
        </w:rPr>
        <w:t>, Applied Developmental Science.</w:t>
      </w:r>
    </w:p>
  </w:footnote>
  <w:footnote w:id="3">
    <w:p w14:paraId="70F65C42" w14:textId="77777777" w:rsidR="003F63EB" w:rsidRDefault="003F63EB" w:rsidP="003F63EB">
      <w:pPr>
        <w:pStyle w:val="FootnoteText"/>
      </w:pPr>
      <w:r w:rsidRPr="003F63EB">
        <w:rPr>
          <w:rStyle w:val="FootnoteReference"/>
          <w:rFonts w:ascii="Franklin Gothic Book" w:hAnsi="Franklin Gothic Book"/>
          <w:color w:val="808080" w:themeColor="background1" w:themeShade="80"/>
          <w:sz w:val="16"/>
          <w:szCs w:val="16"/>
        </w:rPr>
        <w:footnoteRef/>
      </w:r>
      <w:r w:rsidRPr="003F63EB">
        <w:rPr>
          <w:rFonts w:ascii="Franklin Gothic Book" w:hAnsi="Franklin Gothic Book"/>
          <w:color w:val="808080" w:themeColor="background1" w:themeShade="80"/>
          <w:sz w:val="16"/>
          <w:szCs w:val="16"/>
        </w:rPr>
        <w:t xml:space="preserve"> The Forum for Youth Investment (2014) </w:t>
      </w:r>
      <w:r w:rsidRPr="000045AA">
        <w:rPr>
          <w:rFonts w:ascii="Franklin Gothic Book" w:hAnsi="Franklin Gothic Book"/>
          <w:i/>
          <w:color w:val="808080" w:themeColor="background1" w:themeShade="80"/>
          <w:sz w:val="16"/>
          <w:szCs w:val="16"/>
        </w:rPr>
        <w:t>Collective Impact for Policymakers: Working Together for Children and Youth.</w:t>
      </w:r>
      <w:r w:rsidRPr="003F63EB">
        <w:rPr>
          <w:rFonts w:ascii="Franklin Gothic Book" w:hAnsi="Franklin Gothic Book"/>
          <w:color w:val="808080" w:themeColor="background1" w:themeShade="80"/>
          <w:sz w:val="16"/>
          <w:szCs w:val="16"/>
        </w:rPr>
        <w:t xml:space="preserve"> https://forumfyi.org/knowledge-center/collective-impact-for-policymakers/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374E3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55B4B"/>
    <w:multiLevelType w:val="hybridMultilevel"/>
    <w:tmpl w:val="33082F2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15:restartNumberingAfterBreak="0">
    <w:nsid w:val="0CF67290"/>
    <w:multiLevelType w:val="hybridMultilevel"/>
    <w:tmpl w:val="3A4CD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B60FA"/>
    <w:multiLevelType w:val="hybridMultilevel"/>
    <w:tmpl w:val="A1DE73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793694"/>
    <w:multiLevelType w:val="hybridMultilevel"/>
    <w:tmpl w:val="05E8D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F73B69"/>
    <w:multiLevelType w:val="hybridMultilevel"/>
    <w:tmpl w:val="C5FA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D555BB"/>
    <w:multiLevelType w:val="hybridMultilevel"/>
    <w:tmpl w:val="649638D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AB1D5A"/>
    <w:multiLevelType w:val="hybridMultilevel"/>
    <w:tmpl w:val="A770EF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D707B"/>
    <w:multiLevelType w:val="hybridMultilevel"/>
    <w:tmpl w:val="9918D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13A6D"/>
    <w:multiLevelType w:val="hybridMultilevel"/>
    <w:tmpl w:val="29562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091C63"/>
    <w:multiLevelType w:val="hybridMultilevel"/>
    <w:tmpl w:val="87042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BF19CB"/>
    <w:multiLevelType w:val="hybridMultilevel"/>
    <w:tmpl w:val="6A3E6C00"/>
    <w:lvl w:ilvl="0" w:tplc="B3DE00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F7462"/>
    <w:multiLevelType w:val="hybridMultilevel"/>
    <w:tmpl w:val="FABEF120"/>
    <w:lvl w:ilvl="0" w:tplc="B3DE0094">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4F3700"/>
    <w:multiLevelType w:val="hybridMultilevel"/>
    <w:tmpl w:val="98A811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635AA"/>
    <w:multiLevelType w:val="hybridMultilevel"/>
    <w:tmpl w:val="D05C1632"/>
    <w:lvl w:ilvl="0" w:tplc="FD3C9730">
      <w:start w:val="1"/>
      <w:numFmt w:val="bullet"/>
      <w:lvlText w:val="•"/>
      <w:lvlJc w:val="left"/>
      <w:pPr>
        <w:tabs>
          <w:tab w:val="num" w:pos="720"/>
        </w:tabs>
        <w:ind w:left="720" w:hanging="360"/>
      </w:pPr>
      <w:rPr>
        <w:rFonts w:ascii="Times New Roman" w:hAnsi="Times New Roman" w:hint="default"/>
      </w:rPr>
    </w:lvl>
    <w:lvl w:ilvl="1" w:tplc="7912048A" w:tentative="1">
      <w:start w:val="1"/>
      <w:numFmt w:val="bullet"/>
      <w:lvlText w:val="•"/>
      <w:lvlJc w:val="left"/>
      <w:pPr>
        <w:tabs>
          <w:tab w:val="num" w:pos="1440"/>
        </w:tabs>
        <w:ind w:left="1440" w:hanging="360"/>
      </w:pPr>
      <w:rPr>
        <w:rFonts w:ascii="Times New Roman" w:hAnsi="Times New Roman" w:hint="default"/>
      </w:rPr>
    </w:lvl>
    <w:lvl w:ilvl="2" w:tplc="6E844138" w:tentative="1">
      <w:start w:val="1"/>
      <w:numFmt w:val="bullet"/>
      <w:lvlText w:val="•"/>
      <w:lvlJc w:val="left"/>
      <w:pPr>
        <w:tabs>
          <w:tab w:val="num" w:pos="2160"/>
        </w:tabs>
        <w:ind w:left="2160" w:hanging="360"/>
      </w:pPr>
      <w:rPr>
        <w:rFonts w:ascii="Times New Roman" w:hAnsi="Times New Roman" w:hint="default"/>
      </w:rPr>
    </w:lvl>
    <w:lvl w:ilvl="3" w:tplc="8AF07900" w:tentative="1">
      <w:start w:val="1"/>
      <w:numFmt w:val="bullet"/>
      <w:lvlText w:val="•"/>
      <w:lvlJc w:val="left"/>
      <w:pPr>
        <w:tabs>
          <w:tab w:val="num" w:pos="2880"/>
        </w:tabs>
        <w:ind w:left="2880" w:hanging="360"/>
      </w:pPr>
      <w:rPr>
        <w:rFonts w:ascii="Times New Roman" w:hAnsi="Times New Roman" w:hint="default"/>
      </w:rPr>
    </w:lvl>
    <w:lvl w:ilvl="4" w:tplc="7E88A252" w:tentative="1">
      <w:start w:val="1"/>
      <w:numFmt w:val="bullet"/>
      <w:lvlText w:val="•"/>
      <w:lvlJc w:val="left"/>
      <w:pPr>
        <w:tabs>
          <w:tab w:val="num" w:pos="3600"/>
        </w:tabs>
        <w:ind w:left="3600" w:hanging="360"/>
      </w:pPr>
      <w:rPr>
        <w:rFonts w:ascii="Times New Roman" w:hAnsi="Times New Roman" w:hint="default"/>
      </w:rPr>
    </w:lvl>
    <w:lvl w:ilvl="5" w:tplc="A95A7858" w:tentative="1">
      <w:start w:val="1"/>
      <w:numFmt w:val="bullet"/>
      <w:lvlText w:val="•"/>
      <w:lvlJc w:val="left"/>
      <w:pPr>
        <w:tabs>
          <w:tab w:val="num" w:pos="4320"/>
        </w:tabs>
        <w:ind w:left="4320" w:hanging="360"/>
      </w:pPr>
      <w:rPr>
        <w:rFonts w:ascii="Times New Roman" w:hAnsi="Times New Roman" w:hint="default"/>
      </w:rPr>
    </w:lvl>
    <w:lvl w:ilvl="6" w:tplc="484C0260" w:tentative="1">
      <w:start w:val="1"/>
      <w:numFmt w:val="bullet"/>
      <w:lvlText w:val="•"/>
      <w:lvlJc w:val="left"/>
      <w:pPr>
        <w:tabs>
          <w:tab w:val="num" w:pos="5040"/>
        </w:tabs>
        <w:ind w:left="5040" w:hanging="360"/>
      </w:pPr>
      <w:rPr>
        <w:rFonts w:ascii="Times New Roman" w:hAnsi="Times New Roman" w:hint="default"/>
      </w:rPr>
    </w:lvl>
    <w:lvl w:ilvl="7" w:tplc="945023A6" w:tentative="1">
      <w:start w:val="1"/>
      <w:numFmt w:val="bullet"/>
      <w:lvlText w:val="•"/>
      <w:lvlJc w:val="left"/>
      <w:pPr>
        <w:tabs>
          <w:tab w:val="num" w:pos="5760"/>
        </w:tabs>
        <w:ind w:left="5760" w:hanging="360"/>
      </w:pPr>
      <w:rPr>
        <w:rFonts w:ascii="Times New Roman" w:hAnsi="Times New Roman" w:hint="default"/>
      </w:rPr>
    </w:lvl>
    <w:lvl w:ilvl="8" w:tplc="DFAECD2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75C7CAF"/>
    <w:multiLevelType w:val="hybridMultilevel"/>
    <w:tmpl w:val="10A878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0733A6"/>
    <w:multiLevelType w:val="hybridMultilevel"/>
    <w:tmpl w:val="7E0AA4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75E84"/>
    <w:multiLevelType w:val="hybridMultilevel"/>
    <w:tmpl w:val="F2C04D06"/>
    <w:lvl w:ilvl="0" w:tplc="045807B0">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3462C9"/>
    <w:multiLevelType w:val="hybridMultilevel"/>
    <w:tmpl w:val="38186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9"/>
  </w:num>
  <w:num w:numId="4">
    <w:abstractNumId w:val="5"/>
  </w:num>
  <w:num w:numId="5">
    <w:abstractNumId w:val="12"/>
  </w:num>
  <w:num w:numId="6">
    <w:abstractNumId w:val="10"/>
  </w:num>
  <w:num w:numId="7">
    <w:abstractNumId w:val="18"/>
  </w:num>
  <w:num w:numId="8">
    <w:abstractNumId w:val="17"/>
  </w:num>
  <w:num w:numId="9">
    <w:abstractNumId w:val="1"/>
  </w:num>
  <w:num w:numId="10">
    <w:abstractNumId w:val="2"/>
  </w:num>
  <w:num w:numId="11">
    <w:abstractNumId w:val="15"/>
  </w:num>
  <w:num w:numId="12">
    <w:abstractNumId w:val="16"/>
  </w:num>
  <w:num w:numId="13">
    <w:abstractNumId w:val="7"/>
  </w:num>
  <w:num w:numId="14">
    <w:abstractNumId w:val="8"/>
  </w:num>
  <w:num w:numId="15">
    <w:abstractNumId w:val="6"/>
  </w:num>
  <w:num w:numId="16">
    <w:abstractNumId w:val="0"/>
  </w:num>
  <w:num w:numId="17">
    <w:abstractNumId w:val="14"/>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01"/>
    <w:rsid w:val="000045AA"/>
    <w:rsid w:val="00017C2B"/>
    <w:rsid w:val="000757D8"/>
    <w:rsid w:val="000A0DC7"/>
    <w:rsid w:val="000A47E0"/>
    <w:rsid w:val="000C035F"/>
    <w:rsid w:val="000D655C"/>
    <w:rsid w:val="000E1140"/>
    <w:rsid w:val="000F1C82"/>
    <w:rsid w:val="000F40FF"/>
    <w:rsid w:val="000F7D82"/>
    <w:rsid w:val="00106329"/>
    <w:rsid w:val="00112E78"/>
    <w:rsid w:val="001177C2"/>
    <w:rsid w:val="00122584"/>
    <w:rsid w:val="00146395"/>
    <w:rsid w:val="001604C5"/>
    <w:rsid w:val="001B1243"/>
    <w:rsid w:val="001C280F"/>
    <w:rsid w:val="001C57F6"/>
    <w:rsid w:val="001C5ABA"/>
    <w:rsid w:val="001D1129"/>
    <w:rsid w:val="001E786F"/>
    <w:rsid w:val="00204E30"/>
    <w:rsid w:val="00222DE0"/>
    <w:rsid w:val="00235A36"/>
    <w:rsid w:val="002670CD"/>
    <w:rsid w:val="00274F3B"/>
    <w:rsid w:val="00284926"/>
    <w:rsid w:val="00293328"/>
    <w:rsid w:val="002A537B"/>
    <w:rsid w:val="002D1E57"/>
    <w:rsid w:val="002E17D7"/>
    <w:rsid w:val="002F7D4B"/>
    <w:rsid w:val="00326CF4"/>
    <w:rsid w:val="00332B2E"/>
    <w:rsid w:val="00337641"/>
    <w:rsid w:val="00344172"/>
    <w:rsid w:val="003774BA"/>
    <w:rsid w:val="003B79D2"/>
    <w:rsid w:val="003D1EF6"/>
    <w:rsid w:val="003D1F2C"/>
    <w:rsid w:val="003F63EB"/>
    <w:rsid w:val="004219AF"/>
    <w:rsid w:val="00430856"/>
    <w:rsid w:val="004365AE"/>
    <w:rsid w:val="00442C7B"/>
    <w:rsid w:val="00496523"/>
    <w:rsid w:val="004B18E5"/>
    <w:rsid w:val="004D18C4"/>
    <w:rsid w:val="004D626A"/>
    <w:rsid w:val="004D7267"/>
    <w:rsid w:val="004E2CF4"/>
    <w:rsid w:val="004E4059"/>
    <w:rsid w:val="004F14A1"/>
    <w:rsid w:val="00515868"/>
    <w:rsid w:val="0054092C"/>
    <w:rsid w:val="00555FAF"/>
    <w:rsid w:val="0056427F"/>
    <w:rsid w:val="00595C16"/>
    <w:rsid w:val="005A01E7"/>
    <w:rsid w:val="005B2C67"/>
    <w:rsid w:val="005B43D9"/>
    <w:rsid w:val="005C207B"/>
    <w:rsid w:val="005D7D5E"/>
    <w:rsid w:val="005E1DFE"/>
    <w:rsid w:val="005F3A27"/>
    <w:rsid w:val="00655781"/>
    <w:rsid w:val="00673C48"/>
    <w:rsid w:val="006950CC"/>
    <w:rsid w:val="006A15D8"/>
    <w:rsid w:val="006A6FE8"/>
    <w:rsid w:val="006C14A0"/>
    <w:rsid w:val="006D0801"/>
    <w:rsid w:val="006F4525"/>
    <w:rsid w:val="006F5A04"/>
    <w:rsid w:val="007011D3"/>
    <w:rsid w:val="00706672"/>
    <w:rsid w:val="0072315D"/>
    <w:rsid w:val="00732C2E"/>
    <w:rsid w:val="00734822"/>
    <w:rsid w:val="00750B69"/>
    <w:rsid w:val="007A22D4"/>
    <w:rsid w:val="007A3453"/>
    <w:rsid w:val="007A43D7"/>
    <w:rsid w:val="007B5D57"/>
    <w:rsid w:val="007D3F7B"/>
    <w:rsid w:val="007D475D"/>
    <w:rsid w:val="007D5B44"/>
    <w:rsid w:val="007E16CB"/>
    <w:rsid w:val="00800941"/>
    <w:rsid w:val="00803302"/>
    <w:rsid w:val="00805D1D"/>
    <w:rsid w:val="008138CD"/>
    <w:rsid w:val="0081563C"/>
    <w:rsid w:val="00830EAE"/>
    <w:rsid w:val="00833632"/>
    <w:rsid w:val="0085368E"/>
    <w:rsid w:val="00861C62"/>
    <w:rsid w:val="00865C31"/>
    <w:rsid w:val="008A09A3"/>
    <w:rsid w:val="008A710A"/>
    <w:rsid w:val="008B6B8F"/>
    <w:rsid w:val="00917006"/>
    <w:rsid w:val="0093126E"/>
    <w:rsid w:val="00944577"/>
    <w:rsid w:val="009518C6"/>
    <w:rsid w:val="009668A1"/>
    <w:rsid w:val="0097505B"/>
    <w:rsid w:val="009B0BBE"/>
    <w:rsid w:val="009D6F62"/>
    <w:rsid w:val="009F6DAF"/>
    <w:rsid w:val="009F7EE8"/>
    <w:rsid w:val="00A07857"/>
    <w:rsid w:val="00A856D6"/>
    <w:rsid w:val="00A90FBB"/>
    <w:rsid w:val="00A91F46"/>
    <w:rsid w:val="00AA0D82"/>
    <w:rsid w:val="00AC65E8"/>
    <w:rsid w:val="00AE0DFB"/>
    <w:rsid w:val="00B1194B"/>
    <w:rsid w:val="00B23233"/>
    <w:rsid w:val="00B32DFB"/>
    <w:rsid w:val="00BA4F55"/>
    <w:rsid w:val="00BC0F67"/>
    <w:rsid w:val="00BD1B1B"/>
    <w:rsid w:val="00BF6AE8"/>
    <w:rsid w:val="00C25EF7"/>
    <w:rsid w:val="00C510C6"/>
    <w:rsid w:val="00C7717F"/>
    <w:rsid w:val="00C87F40"/>
    <w:rsid w:val="00C9372D"/>
    <w:rsid w:val="00CC30D4"/>
    <w:rsid w:val="00CD6355"/>
    <w:rsid w:val="00CE39BD"/>
    <w:rsid w:val="00D02CF0"/>
    <w:rsid w:val="00D65572"/>
    <w:rsid w:val="00D8194D"/>
    <w:rsid w:val="00DE4708"/>
    <w:rsid w:val="00E009EA"/>
    <w:rsid w:val="00E04666"/>
    <w:rsid w:val="00E07397"/>
    <w:rsid w:val="00E25C05"/>
    <w:rsid w:val="00E27E48"/>
    <w:rsid w:val="00E31FDF"/>
    <w:rsid w:val="00E322EF"/>
    <w:rsid w:val="00E379B3"/>
    <w:rsid w:val="00E56EF3"/>
    <w:rsid w:val="00E64219"/>
    <w:rsid w:val="00E6530E"/>
    <w:rsid w:val="00EA2B57"/>
    <w:rsid w:val="00EA7E79"/>
    <w:rsid w:val="00EB3B01"/>
    <w:rsid w:val="00EB5775"/>
    <w:rsid w:val="00EC00F8"/>
    <w:rsid w:val="00EE5A11"/>
    <w:rsid w:val="00F35C03"/>
    <w:rsid w:val="00F3699A"/>
    <w:rsid w:val="00F63B41"/>
    <w:rsid w:val="00F8254A"/>
    <w:rsid w:val="00F95C56"/>
    <w:rsid w:val="00FA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56B52"/>
  <w15:chartTrackingRefBased/>
  <w15:docId w15:val="{1A02B6EA-5B89-4412-86DF-5B96C2A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868"/>
  </w:style>
  <w:style w:type="paragraph" w:styleId="Heading1">
    <w:name w:val="heading 1"/>
    <w:basedOn w:val="Normal"/>
    <w:next w:val="Normal"/>
    <w:link w:val="Heading1Char"/>
    <w:qFormat/>
    <w:rsid w:val="005C207B"/>
    <w:pPr>
      <w:keepNext/>
      <w:spacing w:before="240" w:after="60" w:line="288"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3B79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0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395"/>
    <w:pPr>
      <w:ind w:left="720"/>
      <w:contextualSpacing/>
    </w:pPr>
  </w:style>
  <w:style w:type="paragraph" w:customStyle="1" w:styleId="m-7109960167089945759msonospacing">
    <w:name w:val="m_-7109960167089945759msonospacing"/>
    <w:basedOn w:val="Normal"/>
    <w:rsid w:val="007A43D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8194D"/>
    <w:rPr>
      <w:sz w:val="16"/>
      <w:szCs w:val="16"/>
    </w:rPr>
  </w:style>
  <w:style w:type="paragraph" w:styleId="CommentText">
    <w:name w:val="annotation text"/>
    <w:basedOn w:val="Normal"/>
    <w:link w:val="CommentTextChar"/>
    <w:uiPriority w:val="99"/>
    <w:unhideWhenUsed/>
    <w:rsid w:val="00D8194D"/>
    <w:pPr>
      <w:spacing w:line="240" w:lineRule="auto"/>
    </w:pPr>
    <w:rPr>
      <w:sz w:val="20"/>
      <w:szCs w:val="20"/>
    </w:rPr>
  </w:style>
  <w:style w:type="character" w:customStyle="1" w:styleId="CommentTextChar">
    <w:name w:val="Comment Text Char"/>
    <w:basedOn w:val="DefaultParagraphFont"/>
    <w:link w:val="CommentText"/>
    <w:uiPriority w:val="99"/>
    <w:rsid w:val="00D8194D"/>
    <w:rPr>
      <w:sz w:val="20"/>
      <w:szCs w:val="20"/>
    </w:rPr>
  </w:style>
  <w:style w:type="paragraph" w:styleId="BalloonText">
    <w:name w:val="Balloon Text"/>
    <w:basedOn w:val="Normal"/>
    <w:link w:val="BalloonTextChar"/>
    <w:uiPriority w:val="99"/>
    <w:semiHidden/>
    <w:unhideWhenUsed/>
    <w:rsid w:val="00D81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4D"/>
    <w:rPr>
      <w:rFonts w:ascii="Segoe UI" w:hAnsi="Segoe UI" w:cs="Segoe UI"/>
      <w:sz w:val="18"/>
      <w:szCs w:val="18"/>
    </w:rPr>
  </w:style>
  <w:style w:type="paragraph" w:customStyle="1" w:styleId="TableHeading">
    <w:name w:val="Table Heading"/>
    <w:basedOn w:val="Heading3"/>
    <w:link w:val="TableHeadingChar"/>
    <w:qFormat/>
    <w:rsid w:val="003B79D2"/>
    <w:pPr>
      <w:spacing w:line="240" w:lineRule="auto"/>
      <w:outlineLvl w:val="9"/>
    </w:pPr>
    <w:rPr>
      <w:noProof/>
      <w:color w:val="ED7D31" w:themeColor="accent2"/>
      <w:sz w:val="20"/>
    </w:rPr>
  </w:style>
  <w:style w:type="character" w:customStyle="1" w:styleId="TableHeadingChar">
    <w:name w:val="Table Heading Char"/>
    <w:basedOn w:val="Heading3Char"/>
    <w:link w:val="TableHeading"/>
    <w:rsid w:val="003B79D2"/>
    <w:rPr>
      <w:rFonts w:asciiTheme="majorHAnsi" w:eastAsiaTheme="majorEastAsia" w:hAnsiTheme="majorHAnsi" w:cstheme="majorBidi"/>
      <w:noProof/>
      <w:color w:val="ED7D31" w:themeColor="accent2"/>
      <w:sz w:val="20"/>
      <w:szCs w:val="24"/>
    </w:rPr>
  </w:style>
  <w:style w:type="paragraph" w:customStyle="1" w:styleId="TableText">
    <w:name w:val="Table Text"/>
    <w:basedOn w:val="ListParagraph"/>
    <w:link w:val="TableTextChar"/>
    <w:qFormat/>
    <w:rsid w:val="003B79D2"/>
    <w:pPr>
      <w:spacing w:after="0" w:line="240" w:lineRule="auto"/>
      <w:ind w:left="0"/>
    </w:pPr>
    <w:rPr>
      <w:rFonts w:ascii="Segoe UI Light" w:eastAsia="Calibri" w:hAnsi="Segoe UI Light" w:cs="Segoe UI Light"/>
      <w:noProof/>
      <w:color w:val="44546A" w:themeColor="text2"/>
      <w:sz w:val="17"/>
      <w:szCs w:val="17"/>
    </w:rPr>
  </w:style>
  <w:style w:type="character" w:customStyle="1" w:styleId="TableTextChar">
    <w:name w:val="Table Text Char"/>
    <w:basedOn w:val="DefaultParagraphFont"/>
    <w:link w:val="TableText"/>
    <w:rsid w:val="003B79D2"/>
    <w:rPr>
      <w:rFonts w:ascii="Segoe UI Light" w:eastAsia="Calibri" w:hAnsi="Segoe UI Light" w:cs="Segoe UI Light"/>
      <w:noProof/>
      <w:color w:val="44546A" w:themeColor="text2"/>
      <w:sz w:val="17"/>
      <w:szCs w:val="17"/>
    </w:rPr>
  </w:style>
  <w:style w:type="character" w:customStyle="1" w:styleId="Heading3Char">
    <w:name w:val="Heading 3 Char"/>
    <w:basedOn w:val="DefaultParagraphFont"/>
    <w:link w:val="Heading3"/>
    <w:uiPriority w:val="9"/>
    <w:semiHidden/>
    <w:rsid w:val="003B79D2"/>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81563C"/>
    <w:rPr>
      <w:b/>
      <w:bCs/>
    </w:rPr>
  </w:style>
  <w:style w:type="character" w:customStyle="1" w:styleId="CommentSubjectChar">
    <w:name w:val="Comment Subject Char"/>
    <w:basedOn w:val="CommentTextChar"/>
    <w:link w:val="CommentSubject"/>
    <w:uiPriority w:val="99"/>
    <w:semiHidden/>
    <w:rsid w:val="0081563C"/>
    <w:rPr>
      <w:b/>
      <w:bCs/>
      <w:sz w:val="20"/>
      <w:szCs w:val="20"/>
    </w:rPr>
  </w:style>
  <w:style w:type="character" w:customStyle="1" w:styleId="Heading1Char">
    <w:name w:val="Heading 1 Char"/>
    <w:basedOn w:val="DefaultParagraphFont"/>
    <w:link w:val="Heading1"/>
    <w:rsid w:val="005C207B"/>
    <w:rPr>
      <w:rFonts w:ascii="Cambria" w:eastAsia="Times New Roman" w:hAnsi="Cambria" w:cs="Times New Roman"/>
      <w:b/>
      <w:bCs/>
      <w:kern w:val="32"/>
      <w:sz w:val="32"/>
      <w:szCs w:val="32"/>
    </w:rPr>
  </w:style>
  <w:style w:type="paragraph" w:customStyle="1" w:styleId="RB21BodyCopy">
    <w:name w:val="RB21 Body Copy"/>
    <w:basedOn w:val="Normal"/>
    <w:link w:val="RB21BodyCopyCharChar"/>
    <w:rsid w:val="005C207B"/>
    <w:pPr>
      <w:spacing w:after="120" w:line="288" w:lineRule="auto"/>
      <w:contextualSpacing/>
    </w:pPr>
    <w:rPr>
      <w:rFonts w:ascii="Arial Narrow" w:eastAsia="Times New Roman" w:hAnsi="Arial Narrow" w:cs="Times New Roman"/>
      <w:szCs w:val="24"/>
    </w:rPr>
  </w:style>
  <w:style w:type="character" w:customStyle="1" w:styleId="RB21BodyCopyCharChar">
    <w:name w:val="RB21 Body Copy Char Char"/>
    <w:link w:val="RB21BodyCopy"/>
    <w:rsid w:val="005C207B"/>
    <w:rPr>
      <w:rFonts w:ascii="Arial Narrow" w:eastAsia="Times New Roman" w:hAnsi="Arial Narrow" w:cs="Times New Roman"/>
      <w:szCs w:val="24"/>
    </w:rPr>
  </w:style>
  <w:style w:type="paragraph" w:customStyle="1" w:styleId="RB21DocumentTitle">
    <w:name w:val="RB21 Document Title"/>
    <w:link w:val="RB21DocumentTitleCharChar"/>
    <w:rsid w:val="005C207B"/>
    <w:pPr>
      <w:spacing w:before="60" w:after="0" w:line="240" w:lineRule="auto"/>
    </w:pPr>
    <w:rPr>
      <w:rFonts w:ascii="Arial Narrow" w:eastAsia="Times New Roman" w:hAnsi="Arial Narrow" w:cs="Times New Roman"/>
      <w:b/>
      <w:caps/>
      <w:color w:val="F8991D"/>
      <w:sz w:val="24"/>
      <w:szCs w:val="28"/>
    </w:rPr>
  </w:style>
  <w:style w:type="character" w:customStyle="1" w:styleId="RB21DocumentTitleCharChar">
    <w:name w:val="RB21 Document Title Char Char"/>
    <w:link w:val="RB21DocumentTitle"/>
    <w:rsid w:val="005C207B"/>
    <w:rPr>
      <w:rFonts w:ascii="Arial Narrow" w:eastAsia="Times New Roman" w:hAnsi="Arial Narrow" w:cs="Times New Roman"/>
      <w:b/>
      <w:caps/>
      <w:color w:val="F8991D"/>
      <w:sz w:val="24"/>
      <w:szCs w:val="28"/>
    </w:rPr>
  </w:style>
  <w:style w:type="paragraph" w:customStyle="1" w:styleId="RB21BodyCopyBold">
    <w:name w:val="RB21 Body Copy Bold"/>
    <w:basedOn w:val="RB21BodyCopy"/>
    <w:next w:val="RB21BodyCopy"/>
    <w:link w:val="RB21BodyCopyBoldChar"/>
    <w:rsid w:val="005C207B"/>
    <w:rPr>
      <w:b/>
      <w:sz w:val="18"/>
    </w:rPr>
  </w:style>
  <w:style w:type="character" w:customStyle="1" w:styleId="RB21BodyCopyBoldChar">
    <w:name w:val="RB21 Body Copy Bold Char"/>
    <w:link w:val="RB21BodyCopyBold"/>
    <w:rsid w:val="005C207B"/>
    <w:rPr>
      <w:rFonts w:ascii="Arial Narrow" w:eastAsia="Times New Roman" w:hAnsi="Arial Narrow" w:cs="Times New Roman"/>
      <w:b/>
      <w:sz w:val="18"/>
      <w:szCs w:val="24"/>
    </w:rPr>
  </w:style>
  <w:style w:type="paragraph" w:styleId="ListBullet">
    <w:name w:val="List Bullet"/>
    <w:basedOn w:val="Normal"/>
    <w:uiPriority w:val="99"/>
    <w:unhideWhenUsed/>
    <w:rsid w:val="005C207B"/>
    <w:pPr>
      <w:spacing w:after="200" w:line="276" w:lineRule="auto"/>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4D6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26A"/>
    <w:rPr>
      <w:sz w:val="20"/>
      <w:szCs w:val="20"/>
    </w:rPr>
  </w:style>
  <w:style w:type="character" w:styleId="FootnoteReference">
    <w:name w:val="footnote reference"/>
    <w:basedOn w:val="DefaultParagraphFont"/>
    <w:uiPriority w:val="99"/>
    <w:semiHidden/>
    <w:unhideWhenUsed/>
    <w:rsid w:val="004D626A"/>
    <w:rPr>
      <w:vertAlign w:val="superscript"/>
    </w:rPr>
  </w:style>
  <w:style w:type="paragraph" w:styleId="Header">
    <w:name w:val="header"/>
    <w:basedOn w:val="Normal"/>
    <w:link w:val="HeaderChar"/>
    <w:uiPriority w:val="99"/>
    <w:unhideWhenUsed/>
    <w:rsid w:val="00496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23"/>
  </w:style>
  <w:style w:type="paragraph" w:styleId="Footer">
    <w:name w:val="footer"/>
    <w:basedOn w:val="Normal"/>
    <w:link w:val="FooterChar"/>
    <w:uiPriority w:val="99"/>
    <w:unhideWhenUsed/>
    <w:rsid w:val="00496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23"/>
  </w:style>
  <w:style w:type="paragraph" w:customStyle="1" w:styleId="Footer1">
    <w:name w:val="Footer1"/>
    <w:basedOn w:val="Normal"/>
    <w:link w:val="FOOTERChar0"/>
    <w:qFormat/>
    <w:rsid w:val="00496523"/>
    <w:pPr>
      <w:tabs>
        <w:tab w:val="center" w:pos="4320"/>
        <w:tab w:val="right" w:pos="8640"/>
      </w:tabs>
      <w:spacing w:after="0" w:line="276" w:lineRule="auto"/>
      <w:ind w:left="1440" w:hanging="1440"/>
      <w:jc w:val="center"/>
    </w:pPr>
    <w:rPr>
      <w:rFonts w:ascii="Franklin Gothic Book" w:eastAsiaTheme="minorEastAsia" w:hAnsi="Franklin Gothic Book"/>
      <w:color w:val="9A9D9C"/>
      <w:sz w:val="14"/>
      <w:szCs w:val="14"/>
    </w:rPr>
  </w:style>
  <w:style w:type="character" w:customStyle="1" w:styleId="FOOTERChar0">
    <w:name w:val="FOOTER Char"/>
    <w:basedOn w:val="DefaultParagraphFont"/>
    <w:link w:val="Footer1"/>
    <w:rsid w:val="00496523"/>
    <w:rPr>
      <w:rFonts w:ascii="Franklin Gothic Book" w:eastAsiaTheme="minorEastAsia" w:hAnsi="Franklin Gothic Book"/>
      <w:color w:val="9A9D9C"/>
      <w:sz w:val="14"/>
      <w:szCs w:val="14"/>
    </w:rPr>
  </w:style>
  <w:style w:type="character" w:styleId="Hyperlink">
    <w:name w:val="Hyperlink"/>
    <w:basedOn w:val="DefaultParagraphFont"/>
    <w:uiPriority w:val="99"/>
    <w:unhideWhenUsed/>
    <w:rsid w:val="00B32DFB"/>
    <w:rPr>
      <w:color w:val="0563C1" w:themeColor="hyperlink"/>
      <w:u w:val="single"/>
    </w:rPr>
  </w:style>
  <w:style w:type="table" w:styleId="GridTable2-Accent4">
    <w:name w:val="Grid Table 2 Accent 4"/>
    <w:basedOn w:val="TableNormal"/>
    <w:uiPriority w:val="47"/>
    <w:rsid w:val="006950CC"/>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3">
    <w:name w:val="Grid Table 2 Accent 3"/>
    <w:basedOn w:val="TableNormal"/>
    <w:uiPriority w:val="47"/>
    <w:rsid w:val="006A15D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5363">
      <w:bodyDiv w:val="1"/>
      <w:marLeft w:val="0"/>
      <w:marRight w:val="0"/>
      <w:marTop w:val="0"/>
      <w:marBottom w:val="0"/>
      <w:divBdr>
        <w:top w:val="none" w:sz="0" w:space="0" w:color="auto"/>
        <w:left w:val="none" w:sz="0" w:space="0" w:color="auto"/>
        <w:bottom w:val="none" w:sz="0" w:space="0" w:color="auto"/>
        <w:right w:val="none" w:sz="0" w:space="0" w:color="auto"/>
      </w:divBdr>
    </w:div>
    <w:div w:id="710690406">
      <w:bodyDiv w:val="1"/>
      <w:marLeft w:val="0"/>
      <w:marRight w:val="0"/>
      <w:marTop w:val="0"/>
      <w:marBottom w:val="0"/>
      <w:divBdr>
        <w:top w:val="none" w:sz="0" w:space="0" w:color="auto"/>
        <w:left w:val="none" w:sz="0" w:space="0" w:color="auto"/>
        <w:bottom w:val="none" w:sz="0" w:space="0" w:color="auto"/>
        <w:right w:val="none" w:sz="0" w:space="0" w:color="auto"/>
      </w:divBdr>
      <w:divsChild>
        <w:div w:id="1864592242">
          <w:marLeft w:val="547"/>
          <w:marRight w:val="0"/>
          <w:marTop w:val="0"/>
          <w:marBottom w:val="0"/>
          <w:divBdr>
            <w:top w:val="none" w:sz="0" w:space="0" w:color="auto"/>
            <w:left w:val="none" w:sz="0" w:space="0" w:color="auto"/>
            <w:bottom w:val="none" w:sz="0" w:space="0" w:color="auto"/>
            <w:right w:val="none" w:sz="0" w:space="0" w:color="auto"/>
          </w:divBdr>
        </w:div>
      </w:divsChild>
    </w:div>
    <w:div w:id="939292810">
      <w:bodyDiv w:val="1"/>
      <w:marLeft w:val="0"/>
      <w:marRight w:val="0"/>
      <w:marTop w:val="0"/>
      <w:marBottom w:val="0"/>
      <w:divBdr>
        <w:top w:val="none" w:sz="0" w:space="0" w:color="auto"/>
        <w:left w:val="none" w:sz="0" w:space="0" w:color="auto"/>
        <w:bottom w:val="none" w:sz="0" w:space="0" w:color="auto"/>
        <w:right w:val="none" w:sz="0" w:space="0" w:color="auto"/>
      </w:divBdr>
      <w:divsChild>
        <w:div w:id="1076634644">
          <w:marLeft w:val="547"/>
          <w:marRight w:val="0"/>
          <w:marTop w:val="0"/>
          <w:marBottom w:val="0"/>
          <w:divBdr>
            <w:top w:val="none" w:sz="0" w:space="0" w:color="auto"/>
            <w:left w:val="none" w:sz="0" w:space="0" w:color="auto"/>
            <w:bottom w:val="none" w:sz="0" w:space="0" w:color="auto"/>
            <w:right w:val="none" w:sz="0" w:space="0" w:color="auto"/>
          </w:divBdr>
        </w:div>
      </w:divsChild>
    </w:div>
    <w:div w:id="1266811270">
      <w:bodyDiv w:val="1"/>
      <w:marLeft w:val="0"/>
      <w:marRight w:val="0"/>
      <w:marTop w:val="0"/>
      <w:marBottom w:val="0"/>
      <w:divBdr>
        <w:top w:val="none" w:sz="0" w:space="0" w:color="auto"/>
        <w:left w:val="none" w:sz="0" w:space="0" w:color="auto"/>
        <w:bottom w:val="none" w:sz="0" w:space="0" w:color="auto"/>
        <w:right w:val="none" w:sz="0" w:space="0" w:color="auto"/>
      </w:divBdr>
    </w:div>
    <w:div w:id="15923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DABD6-2D39-42A7-8313-3BE904F0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Organization</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Pasti</dc:creator>
  <cp:keywords/>
  <dc:description/>
  <cp:lastModifiedBy>Shankland, Laura</cp:lastModifiedBy>
  <cp:revision>2</cp:revision>
  <cp:lastPrinted>2019-07-08T17:33:00Z</cp:lastPrinted>
  <dcterms:created xsi:type="dcterms:W3CDTF">2021-03-10T14:53:00Z</dcterms:created>
  <dcterms:modified xsi:type="dcterms:W3CDTF">2021-03-10T14:53:00Z</dcterms:modified>
</cp:coreProperties>
</file>